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media/image3.bin" ContentType="image/png"/>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b w:val="0"/>
          <w:sz w:val="24"/>
          <w:szCs w:val="22"/>
          <w:lang w:eastAsia="en-US"/>
        </w:rPr>
        <w:alias w:val="TechnicalBlock"/>
        <w:tag w:val="LCK:TechnicalBlock"/>
        <w:id w:val="341599419"/>
        <w:lock w:val="sdtContentLocked"/>
      </w:sdtPr>
      <w:sdtEndPr/>
      <w:sdtContent>
        <w:tbl>
          <w:tblPr>
            <w:tblW w:w="11344" w:type="dxa"/>
            <w:jc w:val="center"/>
            <w:tblLayout w:type="fixed"/>
            <w:tblCellMar>
              <w:left w:w="0" w:type="dxa"/>
              <w:right w:w="0" w:type="dxa"/>
            </w:tblCellMar>
            <w:tblLook w:val="0000" w:firstRow="0" w:lastRow="0" w:firstColumn="0" w:lastColumn="0" w:noHBand="0" w:noVBand="0"/>
          </w:tblPr>
          <w:tblGrid>
            <w:gridCol w:w="850"/>
            <w:gridCol w:w="970"/>
            <w:gridCol w:w="2862"/>
            <w:gridCol w:w="1696"/>
            <w:gridCol w:w="147"/>
            <w:gridCol w:w="4819"/>
          </w:tblGrid>
          <w:tr w:rsidR="003558E4" w:rsidRPr="005F5A6B" w14:paraId="032DEB8A" w14:textId="77777777" w:rsidTr="00524601">
            <w:trPr>
              <w:cantSplit/>
              <w:trHeight w:val="510"/>
              <w:jc w:val="center"/>
            </w:trPr>
            <w:tc>
              <w:tcPr>
                <w:tcW w:w="11344" w:type="dxa"/>
                <w:gridSpan w:val="6"/>
                <w:vAlign w:val="bottom"/>
              </w:tcPr>
              <w:p w14:paraId="7307895F" w14:textId="77777777" w:rsidR="003558E4" w:rsidRPr="005F5A6B" w:rsidRDefault="003558E4" w:rsidP="00524601">
                <w:pPr>
                  <w:pStyle w:val="TBNormalTechnicalBlock"/>
                  <w:jc w:val="right"/>
                  <w:rPr>
                    <w:b w:val="0"/>
                    <w:bCs/>
                  </w:rPr>
                </w:pPr>
              </w:p>
            </w:tc>
          </w:tr>
          <w:tr w:rsidR="003558E4" w:rsidRPr="006720F9" w14:paraId="7349010C" w14:textId="77777777" w:rsidTr="00524601">
            <w:trPr>
              <w:cantSplit/>
              <w:trHeight w:val="567"/>
              <w:jc w:val="center"/>
            </w:trPr>
            <w:tc>
              <w:tcPr>
                <w:tcW w:w="1820" w:type="dxa"/>
                <w:gridSpan w:val="2"/>
                <w:vAlign w:val="bottom"/>
              </w:tcPr>
              <w:p w14:paraId="13B1C183" w14:textId="77777777" w:rsidR="003558E4" w:rsidRPr="006C5D93" w:rsidRDefault="003558E4" w:rsidP="00524601">
                <w:pPr>
                  <w:pStyle w:val="TBEntInstit"/>
                </w:pPr>
                <w:r w:rsidRPr="006C5D93">
                  <w:rPr>
                    <w:noProof/>
                  </w:rPr>
                  <w:drawing>
                    <wp:inline distT="0" distB="0" distL="0" distR="0" wp14:anchorId="03EA19EB" wp14:editId="46F0EE17">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14:paraId="255970CC" w14:textId="77777777" w:rsidR="003558E4" w:rsidRPr="008414C3" w:rsidRDefault="006C298A" w:rsidP="00524601">
                <w:pPr>
                  <w:pStyle w:val="TBInstitution"/>
                </w:pPr>
                <w:r>
                  <w:t>Council of the</w:t>
                </w:r>
                <w:r>
                  <w:br/>
                  <w:t>European Union</w:t>
                </w:r>
              </w:p>
            </w:tc>
          </w:tr>
          <w:tr w:rsidR="003558E4" w:rsidRPr="006720F9" w14:paraId="115C1D8E" w14:textId="77777777" w:rsidTr="00524601">
            <w:trPr>
              <w:gridBefore w:val="2"/>
              <w:wBefore w:w="1820" w:type="dxa"/>
              <w:cantSplit/>
              <w:trHeight w:val="1191"/>
              <w:jc w:val="center"/>
            </w:trPr>
            <w:tc>
              <w:tcPr>
                <w:tcW w:w="4558" w:type="dxa"/>
                <w:gridSpan w:val="2"/>
                <w:tcMar>
                  <w:top w:w="28" w:type="dxa"/>
                  <w:left w:w="85" w:type="dxa"/>
                </w:tcMar>
              </w:tcPr>
              <w:p w14:paraId="52BA1960" w14:textId="77777777" w:rsidR="003558E4" w:rsidRPr="00327887" w:rsidRDefault="003558E4" w:rsidP="00524601">
                <w:pPr>
                  <w:pStyle w:val="TBInstitutionSubwordmark"/>
                </w:pPr>
              </w:p>
            </w:tc>
            <w:tc>
              <w:tcPr>
                <w:tcW w:w="147" w:type="dxa"/>
                <w:vAlign w:val="bottom"/>
              </w:tcPr>
              <w:p w14:paraId="486C66FE" w14:textId="77777777" w:rsidR="003558E4" w:rsidRPr="00093255" w:rsidRDefault="003558E4" w:rsidP="00524601">
                <w:pPr>
                  <w:pStyle w:val="TBNormalTechnicalBlock"/>
                  <w:jc w:val="right"/>
                  <w:rPr>
                    <w:b w:val="0"/>
                    <w:bCs/>
                  </w:rPr>
                </w:pPr>
              </w:p>
            </w:tc>
            <w:tc>
              <w:tcPr>
                <w:tcW w:w="4819" w:type="dxa"/>
                <w:vMerge w:val="restart"/>
                <w:tcMar>
                  <w:top w:w="0" w:type="dxa"/>
                </w:tcMar>
              </w:tcPr>
              <w:p w14:paraId="01B8066E" w14:textId="77777777" w:rsidR="003558E4" w:rsidRPr="0012121B" w:rsidRDefault="006C298A" w:rsidP="00524601">
                <w:pPr>
                  <w:pStyle w:val="TBNormalTechnicalBlock"/>
                </w:pPr>
                <w:r>
                  <w:t>Brussels, 31 July 2025</w:t>
                </w:r>
              </w:p>
              <w:p w14:paraId="0BDB4982" w14:textId="77777777" w:rsidR="003558E4" w:rsidRPr="00871A20" w:rsidRDefault="003558E4" w:rsidP="00524601">
                <w:pPr>
                  <w:pStyle w:val="TBNormalTechnicalBlock"/>
                  <w:rPr>
                    <w:bCs/>
                  </w:rPr>
                </w:pPr>
                <w:r w:rsidRPr="00E60683">
                  <w:rPr>
                    <w:bCs/>
                  </w:rPr>
                  <w:t xml:space="preserve">(OR. </w:t>
                </w:r>
                <w:r>
                  <w:rPr>
                    <w:bCs/>
                  </w:rPr>
                  <w:t>en</w:t>
                </w:r>
                <w:r w:rsidRPr="00871A20">
                  <w:rPr>
                    <w:bCs/>
                  </w:rPr>
                  <w:t>)</w:t>
                </w:r>
              </w:p>
              <w:p w14:paraId="769FC5C2" w14:textId="77777777" w:rsidR="003558E4" w:rsidRPr="00871A20" w:rsidRDefault="003558E4" w:rsidP="00524601">
                <w:pPr>
                  <w:pStyle w:val="TBNormalTechnicalBlock"/>
                  <w:jc w:val="right"/>
                </w:pPr>
              </w:p>
              <w:p w14:paraId="6A72A9E3" w14:textId="77777777" w:rsidR="003558E4" w:rsidRPr="00871A20" w:rsidRDefault="003558E4" w:rsidP="00524601">
                <w:pPr>
                  <w:pStyle w:val="TBNormalTechnicalBlock"/>
                  <w:jc w:val="right"/>
                </w:pPr>
              </w:p>
              <w:p w14:paraId="4BEC5549" w14:textId="77777777" w:rsidR="003558E4" w:rsidRPr="00F65A71" w:rsidRDefault="006C298A" w:rsidP="00524601">
                <w:pPr>
                  <w:pStyle w:val="TBNormalTechnicalBlock"/>
                  <w:rPr>
                    <w:bCs/>
                    <w:lang w:val="en-US"/>
                  </w:rPr>
                </w:pPr>
                <w:r>
                  <w:rPr>
                    <w:bCs/>
                    <w:lang w:val="en-US"/>
                  </w:rPr>
                  <w:t>11988</w:t>
                </w:r>
                <w:r w:rsidR="003558E4" w:rsidRPr="00F65A71">
                  <w:rPr>
                    <w:bCs/>
                    <w:lang w:val="en-US"/>
                  </w:rPr>
                  <w:t>/</w:t>
                </w:r>
                <w:r>
                  <w:rPr>
                    <w:bCs/>
                    <w:lang w:val="en-US"/>
                  </w:rPr>
                  <w:t>25</w:t>
                </w:r>
              </w:p>
              <w:p w14:paraId="4490B9F8" w14:textId="77777777" w:rsidR="003558E4" w:rsidRPr="00F65A71" w:rsidRDefault="003558E4" w:rsidP="00524601">
                <w:pPr>
                  <w:pStyle w:val="TBNormalTechnicalBlock"/>
                  <w:rPr>
                    <w:lang w:val="en-US"/>
                  </w:rPr>
                </w:pPr>
              </w:p>
              <w:p w14:paraId="7F3B40DF" w14:textId="77777777" w:rsidR="003558E4" w:rsidRPr="00F65A71" w:rsidRDefault="003558E4" w:rsidP="00524601">
                <w:pPr>
                  <w:pStyle w:val="TBNormalTechnicalBlock"/>
                  <w:jc w:val="right"/>
                  <w:rPr>
                    <w:lang w:val="en-US"/>
                  </w:rPr>
                </w:pPr>
              </w:p>
              <w:p w14:paraId="1F34ACCA" w14:textId="77777777" w:rsidR="003558E4" w:rsidRDefault="006C298A" w:rsidP="00524601">
                <w:pPr>
                  <w:pStyle w:val="TBNormalTechnicalBlock"/>
                </w:pPr>
                <w:r>
                  <w:t>LIMITE</w:t>
                </w:r>
              </w:p>
              <w:p w14:paraId="42D58BF0" w14:textId="77777777" w:rsidR="003558E4" w:rsidRDefault="003558E4" w:rsidP="00524601">
                <w:pPr>
                  <w:pStyle w:val="TBNormalTechnicalBlock"/>
                  <w:jc w:val="right"/>
                </w:pPr>
              </w:p>
              <w:p w14:paraId="156645C4" w14:textId="77777777" w:rsidR="00D77265" w:rsidRDefault="006C298A">
                <w:pPr>
                  <w:pStyle w:val="TBEntRefer"/>
                  <w:tabs>
                    <w:tab w:val="left" w:pos="2265"/>
                  </w:tabs>
                </w:pPr>
                <w:r>
                  <w:t>CADREFIN 133</w:t>
                </w:r>
              </w:p>
              <w:p w14:paraId="0F8F1FF0" w14:textId="77777777" w:rsidR="00D77265" w:rsidRDefault="006C298A">
                <w:pPr>
                  <w:pStyle w:val="TBEntRefer"/>
                  <w:tabs>
                    <w:tab w:val="left" w:pos="2265"/>
                  </w:tabs>
                </w:pPr>
                <w:r>
                  <w:t>POLGEN 104</w:t>
                </w:r>
              </w:p>
              <w:p w14:paraId="00C8E25A" w14:textId="77777777" w:rsidR="00D77265" w:rsidRDefault="006C298A">
                <w:pPr>
                  <w:pStyle w:val="TBEntRefer"/>
                  <w:tabs>
                    <w:tab w:val="left" w:pos="2265"/>
                  </w:tabs>
                </w:pPr>
                <w:r>
                  <w:t>FIN 934</w:t>
                </w:r>
              </w:p>
              <w:p w14:paraId="35A057F5" w14:textId="77777777" w:rsidR="00D77265" w:rsidRDefault="006C298A">
                <w:pPr>
                  <w:pStyle w:val="TBEntRefer"/>
                  <w:tabs>
                    <w:tab w:val="left" w:pos="2265"/>
                  </w:tabs>
                </w:pPr>
                <w:r>
                  <w:t>JAI 1130</w:t>
                </w:r>
              </w:p>
              <w:p w14:paraId="635B33DC" w14:textId="77777777" w:rsidR="00D77265" w:rsidRDefault="006C298A">
                <w:pPr>
                  <w:pStyle w:val="TBEntRefer"/>
                  <w:tabs>
                    <w:tab w:val="left" w:pos="2265"/>
                  </w:tabs>
                </w:pPr>
                <w:r>
                  <w:t>FRONT 185</w:t>
                </w:r>
              </w:p>
              <w:p w14:paraId="3CE16CC4" w14:textId="77777777" w:rsidR="00D77265" w:rsidRDefault="006C298A">
                <w:pPr>
                  <w:pStyle w:val="TBEntRefer"/>
                  <w:tabs>
                    <w:tab w:val="left" w:pos="2265"/>
                  </w:tabs>
                </w:pPr>
                <w:r>
                  <w:t>MIGR 275</w:t>
                </w:r>
              </w:p>
              <w:p w14:paraId="2F167FFC" w14:textId="77777777" w:rsidR="00D77265" w:rsidRDefault="006C298A">
                <w:pPr>
                  <w:pStyle w:val="TBEntRefer"/>
                  <w:tabs>
                    <w:tab w:val="left" w:pos="2265"/>
                  </w:tabs>
                </w:pPr>
                <w:r>
                  <w:t>VISA 115</w:t>
                </w:r>
              </w:p>
              <w:p w14:paraId="0D38A5CA" w14:textId="77777777" w:rsidR="00D77265" w:rsidRDefault="006C298A">
                <w:pPr>
                  <w:pStyle w:val="TBEntRefer"/>
                  <w:tabs>
                    <w:tab w:val="left" w:pos="2265"/>
                  </w:tabs>
                </w:pPr>
                <w:r>
                  <w:t>SIRIS 8</w:t>
                </w:r>
              </w:p>
              <w:p w14:paraId="513CF58C" w14:textId="77777777" w:rsidR="00D77265" w:rsidRDefault="006C298A">
                <w:pPr>
                  <w:pStyle w:val="TBEntRefer"/>
                  <w:tabs>
                    <w:tab w:val="left" w:pos="2265"/>
                  </w:tabs>
                </w:pPr>
                <w:r>
                  <w:t>COMIX 234</w:t>
                </w:r>
              </w:p>
              <w:p w14:paraId="2AA4DA6C" w14:textId="77777777" w:rsidR="00D77265" w:rsidRDefault="006C298A">
                <w:pPr>
                  <w:pStyle w:val="TBEntRefer"/>
                  <w:tabs>
                    <w:tab w:val="left" w:pos="2265"/>
                  </w:tabs>
                </w:pPr>
                <w:r>
                  <w:t>CODEC 1094</w:t>
                </w:r>
              </w:p>
            </w:tc>
          </w:tr>
          <w:tr w:rsidR="003558E4" w:rsidRPr="006720F9" w14:paraId="68B9B6D3" w14:textId="77777777" w:rsidTr="00524601">
            <w:trPr>
              <w:gridBefore w:val="1"/>
              <w:wBefore w:w="850" w:type="dxa"/>
              <w:cantSplit/>
              <w:trHeight w:val="837"/>
              <w:jc w:val="center"/>
            </w:trPr>
            <w:tc>
              <w:tcPr>
                <w:tcW w:w="3832" w:type="dxa"/>
                <w:gridSpan w:val="2"/>
                <w:vAlign w:val="center"/>
              </w:tcPr>
              <w:p w14:paraId="15E68C88" w14:textId="77777777" w:rsidR="003558E4" w:rsidRPr="002E211F" w:rsidRDefault="003558E4" w:rsidP="00524601">
                <w:pPr>
                  <w:pStyle w:val="TBEntReferNew"/>
                </w:pPr>
              </w:p>
            </w:tc>
            <w:tc>
              <w:tcPr>
                <w:tcW w:w="1843" w:type="dxa"/>
                <w:gridSpan w:val="2"/>
                <w:vMerge w:val="restart"/>
                <w:vAlign w:val="bottom"/>
              </w:tcPr>
              <w:p w14:paraId="48A9FCDF" w14:textId="77777777" w:rsidR="003558E4" w:rsidRPr="008F6E25" w:rsidRDefault="003558E4" w:rsidP="00524601">
                <w:pPr>
                  <w:pStyle w:val="TBNormalTechnicalBlock"/>
                  <w:jc w:val="right"/>
                  <w:rPr>
                    <w:b w:val="0"/>
                    <w:bCs/>
                  </w:rPr>
                </w:pPr>
              </w:p>
            </w:tc>
            <w:tc>
              <w:tcPr>
                <w:tcW w:w="4819" w:type="dxa"/>
                <w:vMerge/>
              </w:tcPr>
              <w:p w14:paraId="3C56CB15" w14:textId="77777777" w:rsidR="003558E4" w:rsidRPr="00F26BF3" w:rsidRDefault="003558E4" w:rsidP="00524601">
                <w:pPr>
                  <w:pStyle w:val="TBEntRefer"/>
                  <w:rPr>
                    <w:szCs w:val="23"/>
                  </w:rPr>
                </w:pPr>
              </w:p>
            </w:tc>
          </w:tr>
          <w:tr w:rsidR="003558E4" w:rsidRPr="007D65B2" w14:paraId="02854708" w14:textId="77777777" w:rsidTr="00524601">
            <w:trPr>
              <w:gridBefore w:val="1"/>
              <w:wBefore w:w="850" w:type="dxa"/>
              <w:cantSplit/>
              <w:trHeight w:val="998"/>
              <w:jc w:val="center"/>
            </w:trPr>
            <w:tc>
              <w:tcPr>
                <w:tcW w:w="3832" w:type="dxa"/>
                <w:gridSpan w:val="2"/>
                <w:vAlign w:val="center"/>
              </w:tcPr>
              <w:p w14:paraId="37A7A075" w14:textId="77777777" w:rsidR="003558E4" w:rsidRPr="007D65B2" w:rsidRDefault="003558E4" w:rsidP="00524601">
                <w:pPr>
                  <w:pStyle w:val="TBSousEmbargo"/>
                </w:pPr>
              </w:p>
            </w:tc>
            <w:tc>
              <w:tcPr>
                <w:tcW w:w="1843" w:type="dxa"/>
                <w:gridSpan w:val="2"/>
                <w:vMerge/>
                <w:vAlign w:val="center"/>
              </w:tcPr>
              <w:p w14:paraId="34C3803F" w14:textId="77777777" w:rsidR="003558E4" w:rsidRPr="008F6E25" w:rsidRDefault="003558E4" w:rsidP="00524601">
                <w:pPr>
                  <w:pStyle w:val="TBNormalTechnicalBlock"/>
                  <w:rPr>
                    <w:b w:val="0"/>
                    <w:bCs/>
                  </w:rPr>
                </w:pPr>
              </w:p>
            </w:tc>
            <w:tc>
              <w:tcPr>
                <w:tcW w:w="4819" w:type="dxa"/>
                <w:vMerge/>
              </w:tcPr>
              <w:p w14:paraId="4B1BBF43" w14:textId="77777777" w:rsidR="003558E4" w:rsidRPr="007D65B2" w:rsidRDefault="003558E4" w:rsidP="00524601">
                <w:pPr>
                  <w:pStyle w:val="TBEntRefer"/>
                  <w:rPr>
                    <w:szCs w:val="23"/>
                  </w:rPr>
                </w:pPr>
              </w:p>
            </w:tc>
          </w:tr>
        </w:tbl>
        <w:p w14:paraId="4E02C1A4" w14:textId="77777777" w:rsidR="003558E4" w:rsidRPr="007D65B2" w:rsidRDefault="003558E4" w:rsidP="003558E4">
          <w:pPr>
            <w:pStyle w:val="TBEntRefer"/>
            <w:rPr>
              <w:sz w:val="2"/>
              <w:szCs w:val="2"/>
            </w:rPr>
          </w:pPr>
        </w:p>
        <w:tbl>
          <w:tblPr>
            <w:tblW w:w="9640" w:type="dxa"/>
            <w:jc w:val="center"/>
            <w:tblLayout w:type="fixed"/>
            <w:tblCellMar>
              <w:left w:w="0" w:type="dxa"/>
              <w:right w:w="0" w:type="dxa"/>
            </w:tblCellMar>
            <w:tblLook w:val="0000" w:firstRow="0" w:lastRow="0" w:firstColumn="0" w:lastColumn="0" w:noHBand="0" w:noVBand="0"/>
          </w:tblPr>
          <w:tblGrid>
            <w:gridCol w:w="1984"/>
            <w:gridCol w:w="7656"/>
          </w:tblGrid>
          <w:tr w:rsidR="002D3C08" w:rsidRPr="008C093D" w14:paraId="4EB50618" w14:textId="77777777" w:rsidTr="00072A32">
            <w:trPr>
              <w:jc w:val="center"/>
            </w:trPr>
            <w:tc>
              <w:tcPr>
                <w:tcW w:w="9640" w:type="dxa"/>
                <w:gridSpan w:val="2"/>
              </w:tcPr>
              <w:p w14:paraId="5ACB9236" w14:textId="77777777" w:rsidR="006C298A" w:rsidRPr="008C093D" w:rsidRDefault="006C298A" w:rsidP="00072A32">
                <w:pPr>
                  <w:pStyle w:val="TBHeadingTable"/>
                </w:pPr>
                <w:r>
                  <w:t>INFORMATION NOTE</w:t>
                </w:r>
              </w:p>
            </w:tc>
          </w:tr>
          <w:tr w:rsidR="002D3C08" w:rsidRPr="00F13D39" w14:paraId="55ED09AD" w14:textId="77777777" w:rsidTr="00072A32">
            <w:trPr>
              <w:jc w:val="center"/>
            </w:trPr>
            <w:tc>
              <w:tcPr>
                <w:tcW w:w="1985" w:type="dxa"/>
                <w:tcBorders>
                  <w:top w:val="single" w:sz="4" w:space="0" w:color="auto"/>
                  <w:bottom w:val="nil"/>
                </w:tcBorders>
              </w:tcPr>
              <w:p w14:paraId="11B7B6D1" w14:textId="77777777" w:rsidR="006C298A" w:rsidRPr="00F13D39" w:rsidRDefault="006C298A" w:rsidP="00072A32">
                <w:pPr>
                  <w:pStyle w:val="TBSubjectTable"/>
                </w:pPr>
                <w:r>
                  <w:t>From:</w:t>
                </w:r>
              </w:p>
            </w:tc>
            <w:tc>
              <w:tcPr>
                <w:tcW w:w="7660" w:type="dxa"/>
                <w:tcBorders>
                  <w:top w:val="single" w:sz="4" w:space="0" w:color="auto"/>
                  <w:bottom w:val="nil"/>
                </w:tcBorders>
              </w:tcPr>
              <w:p w14:paraId="4FED1936" w14:textId="77777777" w:rsidR="006C298A" w:rsidRPr="00F13D39" w:rsidRDefault="006C298A" w:rsidP="00072A32">
                <w:pPr>
                  <w:pStyle w:val="TBSubjectTable"/>
                </w:pPr>
                <w:r>
                  <w:t>General Secretariat of the Council</w:t>
                </w:r>
              </w:p>
            </w:tc>
          </w:tr>
          <w:tr w:rsidR="002D3C08" w:rsidRPr="00F13D39" w14:paraId="0D1A3C9C" w14:textId="77777777" w:rsidTr="00072A32">
            <w:trPr>
              <w:jc w:val="center"/>
            </w:trPr>
            <w:tc>
              <w:tcPr>
                <w:tcW w:w="1985" w:type="dxa"/>
                <w:tcBorders>
                  <w:bottom w:val="single" w:sz="4" w:space="0" w:color="auto"/>
                </w:tcBorders>
              </w:tcPr>
              <w:p w14:paraId="0199229E" w14:textId="77777777" w:rsidR="006C298A" w:rsidRPr="00F13D39" w:rsidRDefault="006C298A" w:rsidP="00072A32">
                <w:pPr>
                  <w:pStyle w:val="TBSubjectTable"/>
                </w:pPr>
                <w:r>
                  <w:t>To:</w:t>
                </w:r>
              </w:p>
            </w:tc>
            <w:tc>
              <w:tcPr>
                <w:tcW w:w="7660" w:type="dxa"/>
                <w:tcBorders>
                  <w:bottom w:val="single" w:sz="4" w:space="0" w:color="auto"/>
                </w:tcBorders>
              </w:tcPr>
              <w:p w14:paraId="6AD1C909" w14:textId="77777777" w:rsidR="006C298A" w:rsidRPr="00F13D39" w:rsidRDefault="006C298A" w:rsidP="00072A32">
                <w:pPr>
                  <w:pStyle w:val="TBSubjectTable"/>
                </w:pPr>
                <w:r>
                  <w:t>Delegations</w:t>
                </w:r>
              </w:p>
            </w:tc>
          </w:tr>
          <w:tr w:rsidR="002D3C08" w:rsidRPr="00F13D39" w14:paraId="1DB66B21" w14:textId="77777777" w:rsidTr="00072A32">
            <w:trPr>
              <w:jc w:val="center"/>
            </w:trPr>
            <w:tc>
              <w:tcPr>
                <w:tcW w:w="1985" w:type="dxa"/>
                <w:tcBorders>
                  <w:top w:val="single" w:sz="4" w:space="0" w:color="auto"/>
                  <w:bottom w:val="single" w:sz="4" w:space="0" w:color="auto"/>
                </w:tcBorders>
              </w:tcPr>
              <w:p w14:paraId="4293DFB3" w14:textId="77777777" w:rsidR="006C298A" w:rsidRPr="00F13D39" w:rsidRDefault="006C298A" w:rsidP="00072A32">
                <w:pPr>
                  <w:pStyle w:val="TBSubjectTable"/>
                </w:pPr>
                <w:r>
                  <w:t>Subject:</w:t>
                </w:r>
              </w:p>
            </w:tc>
            <w:tc>
              <w:tcPr>
                <w:tcW w:w="7660" w:type="dxa"/>
                <w:tcBorders>
                  <w:top w:val="single" w:sz="4" w:space="0" w:color="auto"/>
                  <w:bottom w:val="single" w:sz="4" w:space="0" w:color="auto"/>
                </w:tcBorders>
              </w:tcPr>
              <w:p w14:paraId="3DF9A441" w14:textId="77777777" w:rsidR="00D77265" w:rsidRDefault="006C298A">
                <w:pPr>
                  <w:pStyle w:val="TBSubjectText"/>
                </w:pPr>
                <w:bookmarkStart w:id="0" w:name="SplitParasInCell_1"/>
                <w:bookmarkEnd w:id="0"/>
                <w:r>
                  <w:t>Proposal for a REGULATION OF THE EUROPEAN PARLIAMENT AND OF THE COUNCIL establishing the Union support for the Schengen area, for European integrated border management and for the common policy on visas for the period from 2028 to 2034</w:t>
                </w:r>
              </w:p>
              <w:p w14:paraId="2D1F1D5E" w14:textId="77777777" w:rsidR="00D77265" w:rsidRDefault="006C298A">
                <w:pPr>
                  <w:pStyle w:val="TBSubjectText"/>
                </w:pPr>
                <w:r>
                  <w:t>- Bracketed provisions</w:t>
                </w:r>
              </w:p>
            </w:tc>
          </w:tr>
        </w:tbl>
        <w:p w14:paraId="7A388B81" w14:textId="77777777" w:rsidR="006C298A" w:rsidRPr="002D3C08" w:rsidRDefault="006C298A" w:rsidP="002D3C08">
          <w:pPr>
            <w:spacing w:before="20" w:after="240" w:line="20" w:lineRule="exact"/>
            <w:rPr>
              <w:sz w:val="2"/>
              <w:szCs w:val="2"/>
              <w:lang w:val="fr-FR"/>
            </w:rPr>
          </w:pPr>
        </w:p>
      </w:sdtContent>
    </w:sdt>
    <w:p w14:paraId="664CCEBE" w14:textId="77777777" w:rsidR="006C298A" w:rsidRPr="001A5B60" w:rsidRDefault="006C298A" w:rsidP="00783491">
      <w:r w:rsidRPr="001A5B60">
        <w:t xml:space="preserve">In the context of the discussions on the Multiannual Financial Framework (MFF), delegations will find in annex the bracketed proposal in subject. Brackets in the text are indicated in </w:t>
      </w:r>
      <w:r w:rsidRPr="001A5B60">
        <w:rPr>
          <w:b/>
          <w:bCs/>
          <w:u w:val="single"/>
        </w:rPr>
        <w:t>bold and underline</w:t>
      </w:r>
      <w:r w:rsidRPr="001A5B60">
        <w:t>.</w:t>
      </w:r>
    </w:p>
    <w:p w14:paraId="2BA44B08" w14:textId="77777777" w:rsidR="006C298A" w:rsidRPr="001A5B60" w:rsidRDefault="006C298A" w:rsidP="00783491">
      <w:r w:rsidRPr="001A5B60">
        <w:t xml:space="preserve">Bracketed provisions/elements are those most likely to form part of horizontal negotiations on the MFF and may feature in the future MFF Negotiating Box (NB). </w:t>
      </w:r>
    </w:p>
    <w:p w14:paraId="58DF3CFC" w14:textId="77777777" w:rsidR="006C298A" w:rsidRPr="001A5B60" w:rsidRDefault="006C298A" w:rsidP="00783491">
      <w:r w:rsidRPr="001A5B60">
        <w:t xml:space="preserve">The AHWP MFF will examine ‘bracketed’ parts of the proposals, while the relevant working parties will examine the remaining parts of these proposals. The Presidency of the </w:t>
      </w:r>
      <w:r w:rsidRPr="007C3E3D">
        <w:t>JHA Counsellors on Financial Instruments</w:t>
      </w:r>
      <w:r w:rsidRPr="001A5B60">
        <w:t xml:space="preserve"> will therefore not conclude discussions on those provisions at the level of the </w:t>
      </w:r>
      <w:r w:rsidRPr="007C3E3D">
        <w:t>JHA Counsellors on Financial Instruments</w:t>
      </w:r>
      <w:r w:rsidRPr="001A5B60">
        <w:t>.</w:t>
      </w:r>
    </w:p>
    <w:p w14:paraId="0733698A" w14:textId="77777777" w:rsidR="006C298A" w:rsidRDefault="006C298A" w:rsidP="00783491">
      <w:pPr>
        <w:pageBreakBefore/>
      </w:pPr>
      <w:r w:rsidRPr="001A5B60">
        <w:lastRenderedPageBreak/>
        <w:t xml:space="preserve">All Presidency compromises prepared at sectoral level, including partial general approaches, will maintain the brackets </w:t>
      </w:r>
      <w:proofErr w:type="gramStart"/>
      <w:r w:rsidRPr="001A5B60">
        <w:t>as long as</w:t>
      </w:r>
      <w:proofErr w:type="gramEnd"/>
      <w:r w:rsidRPr="001A5B60">
        <w:t xml:space="preserve"> horizontal negotiations on the MFF are not finalised as nothing is agreed until everything is agreed. Bracketed provisions may be reviewed, if necessary, as negotiations progress.</w:t>
      </w:r>
    </w:p>
    <w:p w14:paraId="5A648C60" w14:textId="77777777" w:rsidR="006C298A" w:rsidRDefault="006C298A" w:rsidP="007C3E3D">
      <w:pPr>
        <w:pStyle w:val="FinalLine"/>
      </w:pPr>
    </w:p>
    <w:p w14:paraId="5E6A3662" w14:textId="77777777" w:rsidR="006C298A" w:rsidRDefault="006C298A" w:rsidP="007C3E3D">
      <w:pPr>
        <w:sectPr w:rsidR="009C5035" w:rsidSect="007C3E3D">
          <w:headerReference w:type="even" r:id="rId11"/>
          <w:headerReference w:type="default" r:id="rId12"/>
          <w:footerReference w:type="even" r:id="rId13"/>
          <w:footerReference w:type="default" r:id="rId14"/>
          <w:headerReference w:type="first" r:id="rId15"/>
          <w:footerReference w:type="first" r:id="rId16"/>
          <w:pgSz w:w="11907" w:h="16840" w:code="9"/>
          <w:pgMar w:top="624" w:right="1134" w:bottom="1134" w:left="1134" w:header="567" w:footer="567" w:gutter="0"/>
          <w:pgNumType w:start="1"/>
          <w:cols w:space="720"/>
          <w:titlePg/>
          <w:docGrid w:linePitch="360"/>
        </w:sectPr>
      </w:pPr>
    </w:p>
    <w:p w14:paraId="2BB542F1" w14:textId="77777777" w:rsidR="006C298A" w:rsidRDefault="006C298A" w:rsidP="007C3E3D">
      <w:pPr>
        <w:pStyle w:val="Annex"/>
      </w:pPr>
      <w:r w:rsidRPr="007C3E3D">
        <w:lastRenderedPageBreak/>
        <w:t>ANNEX</w:t>
      </w:r>
    </w:p>
    <w:p w14:paraId="63D5DC42" w14:textId="77777777" w:rsidR="006C298A" w:rsidRPr="005A598E" w:rsidRDefault="006C298A" w:rsidP="009C5035">
      <w:pPr>
        <w:pStyle w:val="Pagedecouverture"/>
        <w:rPr>
          <w:noProof/>
        </w:rPr>
      </w:pPr>
      <w:r>
        <w:rPr>
          <w:noProof/>
        </w:rPr>
        <w:drawing>
          <wp:inline distT="0" distB="0" distL="0" distR="0" wp14:anchorId="23EAB828" wp14:editId="7EA79B29">
            <wp:extent cx="5761355" cy="4498975"/>
            <wp:effectExtent l="0" t="0" r="0" b="0"/>
            <wp:docPr id="2" name="Picture 1" descr="D20B7800-F450-4ADC-906A-99544BA7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B7800-F450-4ADC-906A-99544BA749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1355" cy="4498975"/>
                    </a:xfrm>
                    <a:prstGeom prst="rect">
                      <a:avLst/>
                    </a:prstGeom>
                    <a:noFill/>
                    <a:ln>
                      <a:noFill/>
                    </a:ln>
                  </pic:spPr>
                </pic:pic>
              </a:graphicData>
            </a:graphic>
          </wp:inline>
        </w:drawing>
      </w:r>
    </w:p>
    <w:p w14:paraId="1E6FBF79" w14:textId="77777777" w:rsidR="006C298A" w:rsidRPr="005A598E" w:rsidRDefault="006C298A" w:rsidP="009C5035">
      <w:pPr>
        <w:rPr>
          <w:noProof/>
        </w:rPr>
        <w:sectPr w:rsidR="009C5035" w:rsidRPr="005A598E" w:rsidSect="009C5035">
          <w:headerReference w:type="even" r:id="rId18"/>
          <w:headerReference w:type="default" r:id="rId19"/>
          <w:footerReference w:type="even" r:id="rId20"/>
          <w:footerReference w:type="default" r:id="rId21"/>
          <w:headerReference w:type="first" r:id="rId22"/>
          <w:footerReference w:type="first" r:id="rId23"/>
          <w:pgSz w:w="11907" w:h="16839"/>
          <w:pgMar w:top="1134" w:right="1134" w:bottom="1134" w:left="1134" w:header="567" w:footer="567" w:gutter="0"/>
          <w:cols w:space="720"/>
          <w:docGrid w:linePitch="360"/>
        </w:sectPr>
      </w:pPr>
    </w:p>
    <w:p w14:paraId="40114339" w14:textId="77777777" w:rsidR="006C298A" w:rsidRPr="005A598E" w:rsidRDefault="006C298A" w:rsidP="009C5035">
      <w:pPr>
        <w:spacing w:before="0" w:after="200" w:line="276" w:lineRule="auto"/>
        <w:rPr>
          <w:rFonts w:eastAsia="Arial Unicode MS"/>
          <w:noProof/>
          <w:color w:val="000000" w:themeColor="text1"/>
        </w:rPr>
      </w:pPr>
    </w:p>
    <w:p w14:paraId="714CB95F" w14:textId="77777777" w:rsidR="006C298A" w:rsidRDefault="006C298A" w:rsidP="009C5035">
      <w:pPr>
        <w:pStyle w:val="Rfrenceinterinstitutionnelle"/>
        <w:rPr>
          <w:noProof/>
        </w:rPr>
      </w:pPr>
      <w:r>
        <w:rPr>
          <w:noProof/>
        </w:rPr>
        <w:t>2025/0541 (COD)</w:t>
      </w:r>
    </w:p>
    <w:p w14:paraId="27705F49" w14:textId="77777777" w:rsidR="006C298A" w:rsidRPr="005A598E" w:rsidRDefault="006C298A" w:rsidP="009C5035">
      <w:pPr>
        <w:pStyle w:val="Statut"/>
        <w:rPr>
          <w:noProof/>
        </w:rPr>
      </w:pPr>
      <w:r w:rsidRPr="003950D1">
        <w:rPr>
          <w:noProof/>
        </w:rPr>
        <w:t>Proposal for a</w:t>
      </w:r>
    </w:p>
    <w:p w14:paraId="1D042B0B" w14:textId="77777777" w:rsidR="006C298A" w:rsidRPr="005A598E" w:rsidRDefault="006C298A" w:rsidP="009C5035">
      <w:pPr>
        <w:pStyle w:val="Typedudocument"/>
        <w:rPr>
          <w:noProof/>
        </w:rPr>
      </w:pPr>
      <w:r w:rsidRPr="003950D1">
        <w:rPr>
          <w:noProof/>
        </w:rPr>
        <w:t>REGULATION OF THE EUROPEAN PARLIAMENT AND OF THE COUNCIL</w:t>
      </w:r>
    </w:p>
    <w:p w14:paraId="43F40F53" w14:textId="77777777" w:rsidR="006C298A" w:rsidRPr="005A598E" w:rsidRDefault="006C298A" w:rsidP="009C5035">
      <w:pPr>
        <w:pStyle w:val="Titreobjet"/>
        <w:rPr>
          <w:noProof/>
        </w:rPr>
      </w:pPr>
      <w:r w:rsidRPr="003950D1">
        <w:rPr>
          <w:noProof/>
        </w:rPr>
        <w:t>establishing the Union support for the Schengen area, for European integrated border management and for the common policy on visas for the period from 2028 to 2034</w:t>
      </w:r>
    </w:p>
    <w:p w14:paraId="04FCC430" w14:textId="77777777" w:rsidR="006C298A" w:rsidRPr="005A598E" w:rsidRDefault="006C298A" w:rsidP="009C5035">
      <w:pPr>
        <w:pStyle w:val="Institutionquiagit"/>
        <w:rPr>
          <w:noProof/>
        </w:rPr>
      </w:pPr>
      <w:r w:rsidRPr="005A598E">
        <w:rPr>
          <w:noProof/>
        </w:rPr>
        <w:t>THE EUROPEAN PARLIAMENT AND THE COUNCIL OF THE EUROPEAN UNION,</w:t>
      </w:r>
    </w:p>
    <w:p w14:paraId="6FFF2187" w14:textId="77777777" w:rsidR="006C298A" w:rsidRPr="005A598E" w:rsidRDefault="006C298A" w:rsidP="009C5035">
      <w:pPr>
        <w:rPr>
          <w:noProof/>
        </w:rPr>
      </w:pPr>
      <w:r w:rsidRPr="005A598E">
        <w:rPr>
          <w:noProof/>
        </w:rPr>
        <w:t xml:space="preserve">Having regard to the Treaty on the Functioning of the European Union, and in particular Articles 77(2) and 79(2), point </w:t>
      </w:r>
      <w:r>
        <w:rPr>
          <w:noProof/>
        </w:rPr>
        <w:t xml:space="preserve">(c) and </w:t>
      </w:r>
      <w:r w:rsidRPr="005A598E">
        <w:rPr>
          <w:noProof/>
        </w:rPr>
        <w:t>(d) thereof,</w:t>
      </w:r>
    </w:p>
    <w:p w14:paraId="29B62BCF" w14:textId="77777777" w:rsidR="006C298A" w:rsidRPr="005A598E" w:rsidRDefault="006C298A" w:rsidP="009C5035">
      <w:pPr>
        <w:rPr>
          <w:noProof/>
        </w:rPr>
      </w:pPr>
      <w:r w:rsidRPr="005A598E">
        <w:rPr>
          <w:noProof/>
        </w:rPr>
        <w:t>Having regard to the proposal from the European Commission,</w:t>
      </w:r>
    </w:p>
    <w:p w14:paraId="4CBB701A" w14:textId="77777777" w:rsidR="006C298A" w:rsidRPr="005A598E" w:rsidRDefault="006C298A" w:rsidP="009C5035">
      <w:pPr>
        <w:rPr>
          <w:noProof/>
        </w:rPr>
      </w:pPr>
      <w:r w:rsidRPr="005A598E">
        <w:rPr>
          <w:noProof/>
        </w:rPr>
        <w:t>After transmission of the draft legislative act to the national parliaments,</w:t>
      </w:r>
    </w:p>
    <w:p w14:paraId="4DC86F5C" w14:textId="77777777" w:rsidR="006C298A" w:rsidRPr="005A598E" w:rsidRDefault="006C298A" w:rsidP="009C5035">
      <w:pPr>
        <w:rPr>
          <w:i/>
          <w:noProof/>
        </w:rPr>
      </w:pPr>
      <w:r w:rsidRPr="005A598E">
        <w:rPr>
          <w:noProof/>
        </w:rPr>
        <w:t>Having regard to the opinion of the European Economic and Social Committee</w:t>
      </w:r>
      <w:r w:rsidRPr="005A598E">
        <w:rPr>
          <w:rStyle w:val="FootnoteReference"/>
          <w:noProof/>
        </w:rPr>
        <w:footnoteReference w:id="1"/>
      </w:r>
      <w:r w:rsidRPr="005A598E">
        <w:rPr>
          <w:noProof/>
        </w:rPr>
        <w:t>,</w:t>
      </w:r>
    </w:p>
    <w:p w14:paraId="1D64F511" w14:textId="77777777" w:rsidR="006C298A" w:rsidRPr="005A598E" w:rsidRDefault="006C298A" w:rsidP="009C5035">
      <w:pPr>
        <w:rPr>
          <w:noProof/>
        </w:rPr>
      </w:pPr>
      <w:r w:rsidRPr="005A598E">
        <w:rPr>
          <w:noProof/>
        </w:rPr>
        <w:t>After consulting the Committee of the Regions,</w:t>
      </w:r>
    </w:p>
    <w:p w14:paraId="451A3C15" w14:textId="77777777" w:rsidR="006C298A" w:rsidRPr="005A598E" w:rsidRDefault="006C298A" w:rsidP="009C5035">
      <w:pPr>
        <w:rPr>
          <w:noProof/>
        </w:rPr>
      </w:pPr>
      <w:r w:rsidRPr="005A598E">
        <w:rPr>
          <w:noProof/>
        </w:rPr>
        <w:t>Acting in accordance with the ordinary legislative procedure</w:t>
      </w:r>
      <w:r w:rsidRPr="005A598E">
        <w:rPr>
          <w:rStyle w:val="FootnoteReference"/>
          <w:noProof/>
        </w:rPr>
        <w:footnoteReference w:id="2"/>
      </w:r>
      <w:r w:rsidRPr="005A598E">
        <w:rPr>
          <w:noProof/>
        </w:rPr>
        <w:t>,</w:t>
      </w:r>
    </w:p>
    <w:p w14:paraId="1A7FC03B" w14:textId="77777777" w:rsidR="006C298A" w:rsidRPr="005A598E" w:rsidRDefault="006C298A" w:rsidP="009C5035">
      <w:pPr>
        <w:rPr>
          <w:noProof/>
        </w:rPr>
      </w:pPr>
      <w:r w:rsidRPr="005A598E">
        <w:rPr>
          <w:noProof/>
        </w:rPr>
        <w:t>Whereas:</w:t>
      </w:r>
    </w:p>
    <w:p w14:paraId="31FE5FAA" w14:textId="77777777" w:rsidR="006C298A" w:rsidRPr="005A598E" w:rsidRDefault="006C298A" w:rsidP="009C5035">
      <w:pPr>
        <w:pStyle w:val="ManualConsidrant"/>
        <w:rPr>
          <w:noProof/>
        </w:rPr>
      </w:pPr>
      <w:r w:rsidRPr="003347AC">
        <w:rPr>
          <w:noProof/>
        </w:rPr>
        <w:t>(1)</w:t>
      </w:r>
      <w:r w:rsidRPr="003347AC">
        <w:rPr>
          <w:noProof/>
        </w:rPr>
        <w:tab/>
      </w:r>
      <w:r w:rsidRPr="005A598E">
        <w:rPr>
          <w:noProof/>
        </w:rPr>
        <w:t>The Union’s objective of constituting an area of freedom, security and justice in accordance with Article 67(1) of the Treaty on the Functioning of the European Union (TFEU) should be achieved through the provision of Union support for the development of the Union’s common policy on external border control, including for the common visa policy pursuant to Article 77(2), point (a) TFEU.</w:t>
      </w:r>
    </w:p>
    <w:p w14:paraId="06A8DA7F" w14:textId="77777777" w:rsidR="006C298A" w:rsidRPr="005A598E" w:rsidRDefault="006C298A" w:rsidP="009C5035">
      <w:pPr>
        <w:pStyle w:val="ManualConsidrant"/>
        <w:rPr>
          <w:noProof/>
          <w:szCs w:val="24"/>
        </w:rPr>
      </w:pPr>
      <w:bookmarkStart w:id="2" w:name="_Hlk201766894"/>
      <w:r w:rsidRPr="003347AC">
        <w:rPr>
          <w:noProof/>
        </w:rPr>
        <w:t>(2)</w:t>
      </w:r>
      <w:r w:rsidRPr="003347AC">
        <w:rPr>
          <w:noProof/>
        </w:rPr>
        <w:tab/>
      </w:r>
      <w:r w:rsidRPr="005A598E">
        <w:rPr>
          <w:noProof/>
        </w:rPr>
        <w:t>To ensure the effective and efficient functioning of the Schengen area without internal borders, a strong governance framework, an effective European integrated border management, as implemented by the European Border and Coast Guard, established by Regulation (EU) 2019/1896 of the European Parliament and of the Council</w:t>
      </w:r>
      <w:r w:rsidRPr="005A598E">
        <w:rPr>
          <w:rStyle w:val="FootnoteReference"/>
          <w:noProof/>
        </w:rPr>
        <w:footnoteReference w:id="3"/>
      </w:r>
      <w:r w:rsidRPr="005A598E">
        <w:rPr>
          <w:noProof/>
        </w:rPr>
        <w:t xml:space="preserve">, and the EU visa </w:t>
      </w:r>
      <w:r w:rsidRPr="005A598E">
        <w:rPr>
          <w:noProof/>
        </w:rPr>
        <w:lastRenderedPageBreak/>
        <w:t>policy are of paramount importance to ensure the integrity</w:t>
      </w:r>
      <w:r w:rsidRPr="005A598E">
        <w:rPr>
          <w:rFonts w:eastAsia="Arial Unicode MS"/>
          <w:noProof/>
          <w:szCs w:val="24"/>
          <w:lang w:eastAsia="en-IE"/>
        </w:rPr>
        <w:t xml:space="preserve"> </w:t>
      </w:r>
      <w:r w:rsidRPr="005A598E">
        <w:rPr>
          <w:noProof/>
        </w:rPr>
        <w:t>and</w:t>
      </w:r>
      <w:r w:rsidRPr="005A598E">
        <w:rPr>
          <w:rFonts w:eastAsia="Arial Unicode MS"/>
          <w:noProof/>
          <w:szCs w:val="24"/>
          <w:lang w:eastAsia="en-IE"/>
        </w:rPr>
        <w:t xml:space="preserve"> resilience of the Schengen Area.</w:t>
      </w:r>
    </w:p>
    <w:bookmarkEnd w:id="2"/>
    <w:p w14:paraId="16D2F688" w14:textId="77777777" w:rsidR="006C298A" w:rsidRPr="006B3F48" w:rsidRDefault="006C298A" w:rsidP="009C5035">
      <w:pPr>
        <w:pStyle w:val="ManualConsidrant"/>
        <w:rPr>
          <w:rFonts w:eastAsia="Arial Unicode MS"/>
          <w:noProof/>
          <w:szCs w:val="24"/>
          <w:lang w:eastAsia="en-IE"/>
        </w:rPr>
      </w:pPr>
      <w:r w:rsidRPr="003347AC">
        <w:rPr>
          <w:noProof/>
        </w:rPr>
        <w:t>(3)</w:t>
      </w:r>
      <w:r w:rsidRPr="003347AC">
        <w:rPr>
          <w:noProof/>
        </w:rPr>
        <w:tab/>
      </w:r>
      <w:r w:rsidRPr="005A598E">
        <w:rPr>
          <w:noProof/>
        </w:rPr>
        <w:t xml:space="preserve">Union support should therefore be provided for Member States’ efforts to protect the external borders of the Union, curbing illegal border crossings and unauthorised movements between the Member States, as well as modernising and </w:t>
      </w:r>
      <w:r w:rsidRPr="005A598E">
        <w:rPr>
          <w:rFonts w:eastAsia="Arial Unicode MS"/>
          <w:noProof/>
          <w:szCs w:val="24"/>
          <w:lang w:eastAsia="en-IE"/>
        </w:rPr>
        <w:t xml:space="preserve">improving the overall efficiency of visa processing and preventing abuse of the </w:t>
      </w:r>
      <w:r w:rsidRPr="006B3F48">
        <w:rPr>
          <w:rFonts w:eastAsia="Arial Unicode MS"/>
          <w:noProof/>
          <w:szCs w:val="24"/>
          <w:lang w:eastAsia="en-IE"/>
        </w:rPr>
        <w:t xml:space="preserve">Union’s visa regime. </w:t>
      </w:r>
      <w:r w:rsidRPr="002414D5">
        <w:rPr>
          <w:rFonts w:eastAsia="Arial Unicode MS"/>
          <w:b/>
          <w:bCs/>
          <w:noProof/>
          <w:szCs w:val="24"/>
          <w:u w:val="single"/>
          <w:lang w:eastAsia="en-IE"/>
        </w:rPr>
        <w:t>[</w:t>
      </w:r>
      <w:r w:rsidRPr="006B3F48">
        <w:rPr>
          <w:noProof/>
          <w:szCs w:val="24"/>
        </w:rPr>
        <w:t xml:space="preserve">This Union support is to be provided under the under the horizontal rules of the </w:t>
      </w:r>
      <w:r w:rsidRPr="006B3F48">
        <w:rPr>
          <w:rFonts w:eastAsia="Arial Unicode MS"/>
          <w:noProof/>
          <w:color w:val="000000" w:themeColor="text1"/>
        </w:rPr>
        <w:t>European Fund for economic, social and territorial cohesion, agriculture and rural, fisheries and m</w:t>
      </w:r>
      <w:r w:rsidRPr="006B3F48">
        <w:rPr>
          <w:rFonts w:eastAsia="Arial Unicode MS"/>
          <w:noProof/>
          <w:color w:val="000000" w:themeColor="text1"/>
        </w:rPr>
        <w:t>aritime, prosperity and security</w:t>
      </w:r>
      <w:r w:rsidRPr="006B3F48">
        <w:rPr>
          <w:rFonts w:eastAsia="Arial Unicode MS"/>
          <w:noProof/>
        </w:rPr>
        <w:t xml:space="preserve"> </w:t>
      </w:r>
      <w:r w:rsidRPr="006B3F48">
        <w:rPr>
          <w:noProof/>
          <w:szCs w:val="24"/>
        </w:rPr>
        <w:t>established by Regulation (EU) […].</w:t>
      </w:r>
      <w:r w:rsidRPr="002414D5">
        <w:rPr>
          <w:rFonts w:eastAsia="Arial Unicode MS"/>
          <w:b/>
          <w:bCs/>
          <w:noProof/>
          <w:szCs w:val="24"/>
          <w:u w:val="single"/>
          <w:lang w:eastAsia="en-IE"/>
        </w:rPr>
        <w:t>]</w:t>
      </w:r>
    </w:p>
    <w:p w14:paraId="36488251" w14:textId="77777777" w:rsidR="006C298A" w:rsidRPr="005A598E" w:rsidRDefault="006C298A" w:rsidP="009C5035">
      <w:pPr>
        <w:pStyle w:val="ManualConsidrant"/>
        <w:rPr>
          <w:noProof/>
          <w:sz w:val="22"/>
          <w:lang w:val="en-IE"/>
        </w:rPr>
      </w:pPr>
      <w:r w:rsidRPr="003347AC">
        <w:rPr>
          <w:noProof/>
        </w:rPr>
        <w:t>(4)</w:t>
      </w:r>
      <w:r w:rsidRPr="003347AC">
        <w:rPr>
          <w:noProof/>
        </w:rPr>
        <w:tab/>
      </w:r>
      <w:r w:rsidRPr="006B3F48">
        <w:rPr>
          <w:noProof/>
        </w:rPr>
        <w:t>Union support should also be provided for the effective implementation, application and development of the Schengen framework at the European and national level, including through strengthening the national Schengen governance encom</w:t>
      </w:r>
      <w:r w:rsidRPr="005A598E">
        <w:rPr>
          <w:noProof/>
        </w:rPr>
        <w:t xml:space="preserve">passing the effective coordination structures and strategic processes which are critical for the well -functioning of the Schengen area. </w:t>
      </w:r>
    </w:p>
    <w:p w14:paraId="16BC3F23" w14:textId="77777777" w:rsidR="006C298A" w:rsidRPr="005A598E" w:rsidRDefault="006C298A" w:rsidP="009C5035">
      <w:pPr>
        <w:pStyle w:val="ManualConsidrant"/>
        <w:rPr>
          <w:noProof/>
          <w:szCs w:val="24"/>
        </w:rPr>
      </w:pPr>
      <w:r w:rsidRPr="003347AC">
        <w:rPr>
          <w:noProof/>
        </w:rPr>
        <w:t>(5)</w:t>
      </w:r>
      <w:r w:rsidRPr="003347AC">
        <w:rPr>
          <w:noProof/>
        </w:rPr>
        <w:tab/>
      </w:r>
      <w:r w:rsidRPr="005A598E">
        <w:rPr>
          <w:noProof/>
        </w:rPr>
        <w:t>This Regulation lays down the objectives of the Union support for a well-functioning Schengen area without control at the internal borders, including for European integrated border management, including support for the functioning of the Schengen area, and for European visa policy</w:t>
      </w:r>
      <w:bookmarkStart w:id="3" w:name="_Hlk201766871"/>
      <w:r w:rsidRPr="005A598E">
        <w:rPr>
          <w:noProof/>
        </w:rPr>
        <w:t xml:space="preserve"> (‘the Union support’). Member States should ensure that their </w:t>
      </w:r>
      <w:r w:rsidRPr="005A598E" w:rsidDel="00580D96">
        <w:rPr>
          <w:noProof/>
        </w:rPr>
        <w:t>National and Regional Partnership Plan</w:t>
      </w:r>
      <w:r w:rsidRPr="005A598E">
        <w:rPr>
          <w:noProof/>
        </w:rPr>
        <w:t xml:space="preserve">s address each of the objectives this Regulation sets out. </w:t>
      </w:r>
      <w:bookmarkEnd w:id="3"/>
    </w:p>
    <w:p w14:paraId="4ECECFCC" w14:textId="77777777" w:rsidR="006C298A" w:rsidRPr="006B3F48" w:rsidRDefault="006C298A" w:rsidP="009C5035">
      <w:pPr>
        <w:pStyle w:val="ManualConsidrant"/>
        <w:rPr>
          <w:noProof/>
          <w:szCs w:val="24"/>
        </w:rPr>
      </w:pPr>
      <w:r w:rsidRPr="003347AC">
        <w:rPr>
          <w:noProof/>
        </w:rPr>
        <w:t>(6)</w:t>
      </w:r>
      <w:r w:rsidRPr="003347AC">
        <w:rPr>
          <w:noProof/>
        </w:rPr>
        <w:tab/>
      </w:r>
      <w:r w:rsidRPr="005A598E">
        <w:rPr>
          <w:noProof/>
        </w:rPr>
        <w:t xml:space="preserve">In accordance with Lithuania’s Act of Accession to the EU, the </w:t>
      </w:r>
      <w:r w:rsidRPr="006B3F48">
        <w:rPr>
          <w:noProof/>
        </w:rPr>
        <w:t>Regulation also addresses the need to support Lithuania for the management of the transit of persons between the region of Kaliningrad and other parts of the Russian Federation.</w:t>
      </w:r>
    </w:p>
    <w:p w14:paraId="6F0693C8" w14:textId="77777777" w:rsidR="006C298A" w:rsidRPr="005A598E" w:rsidRDefault="006C298A" w:rsidP="009C5035">
      <w:pPr>
        <w:pStyle w:val="ManualConsidrant"/>
        <w:rPr>
          <w:noProof/>
        </w:rPr>
      </w:pPr>
      <w:r w:rsidRPr="003347AC">
        <w:rPr>
          <w:noProof/>
        </w:rPr>
        <w:t>(7)</w:t>
      </w:r>
      <w:r w:rsidRPr="003347AC">
        <w:rPr>
          <w:noProof/>
        </w:rPr>
        <w:tab/>
      </w:r>
      <w:r w:rsidRPr="002414D5">
        <w:rPr>
          <w:b/>
          <w:bCs/>
          <w:noProof/>
          <w:u w:val="single"/>
        </w:rPr>
        <w:t>[</w:t>
      </w:r>
      <w:r w:rsidRPr="006B3F48">
        <w:rPr>
          <w:noProof/>
        </w:rPr>
        <w:t xml:space="preserve">The amounts to be allocated per Member State should be set out by the Commission in accordance with the allocation methodology laid down in Regulation (EU) […] </w:t>
      </w:r>
      <w:r w:rsidRPr="006B3F48">
        <w:rPr>
          <w:rFonts w:eastAsia="Arial Unicode MS"/>
          <w:noProof/>
          <w:color w:val="000000" w:themeColor="text1"/>
        </w:rPr>
        <w:t>establishing the European Fund for economic, social and territorial cohesion, agriculture and rural, fisheries and maritime, prosperity and security</w:t>
      </w:r>
      <w:r w:rsidRPr="006B3F48">
        <w:rPr>
          <w:noProof/>
        </w:rPr>
        <w:t xml:space="preserve"> through a single implementing decision. That decision should as a rule also cover the amounts under the Regulation (EU) […] </w:t>
      </w:r>
      <w:r w:rsidRPr="006B3F48">
        <w:rPr>
          <w:rFonts w:eastAsia="Arial Unicode MS"/>
          <w:noProof/>
          <w:color w:val="000000" w:themeColor="text1"/>
        </w:rPr>
        <w:t>establishing the European Fund for economic, social and territorial cohesion,</w:t>
      </w:r>
      <w:r w:rsidRPr="006B3F48">
        <w:rPr>
          <w:rFonts w:eastAsia="Arial Unicode MS"/>
          <w:noProof/>
          <w:color w:val="000000" w:themeColor="text1"/>
        </w:rPr>
        <w:t xml:space="preserve"> agriculture and rural, fisheries and maritime, prosperity and security</w:t>
      </w:r>
      <w:r w:rsidRPr="006B3F48">
        <w:rPr>
          <w:noProof/>
        </w:rPr>
        <w:t xml:space="preserve">, the </w:t>
      </w:r>
      <w:r w:rsidRPr="006B3F48">
        <w:rPr>
          <w:rFonts w:eastAsia="Arial Unicode MS"/>
          <w:noProof/>
        </w:rPr>
        <w:t xml:space="preserve">Regulation </w:t>
      </w:r>
      <w:r>
        <w:rPr>
          <w:rFonts w:eastAsia="Arial Unicode MS"/>
          <w:noProof/>
        </w:rPr>
        <w:t xml:space="preserve">(EU) […] </w:t>
      </w:r>
      <w:r w:rsidRPr="006B3F48">
        <w:rPr>
          <w:rFonts w:eastAsia="Arial Unicode MS"/>
          <w:noProof/>
        </w:rPr>
        <w:t>establishing</w:t>
      </w:r>
      <w:r w:rsidRPr="005A598E">
        <w:rPr>
          <w:rFonts w:eastAsia="Arial Unicode MS"/>
          <w:noProof/>
        </w:rPr>
        <w:t xml:space="preserve"> the Union support for </w:t>
      </w:r>
      <w:r>
        <w:rPr>
          <w:rFonts w:eastAsia="Arial Unicode MS"/>
          <w:noProof/>
        </w:rPr>
        <w:t>a</w:t>
      </w:r>
      <w:r w:rsidRPr="005A598E">
        <w:rPr>
          <w:rFonts w:eastAsia="Arial Unicode MS"/>
          <w:noProof/>
        </w:rPr>
        <w:t xml:space="preserve">sylum, </w:t>
      </w:r>
      <w:r>
        <w:rPr>
          <w:rFonts w:eastAsia="Arial Unicode MS"/>
          <w:noProof/>
        </w:rPr>
        <w:t>m</w:t>
      </w:r>
      <w:r w:rsidRPr="005A598E">
        <w:rPr>
          <w:rFonts w:eastAsia="Arial Unicode MS"/>
          <w:noProof/>
        </w:rPr>
        <w:t xml:space="preserve">igration and </w:t>
      </w:r>
      <w:r>
        <w:rPr>
          <w:rFonts w:eastAsia="Arial Unicode MS"/>
          <w:noProof/>
        </w:rPr>
        <w:t>i</w:t>
      </w:r>
      <w:r w:rsidRPr="005A598E">
        <w:rPr>
          <w:rFonts w:eastAsia="Arial Unicode MS"/>
          <w:noProof/>
        </w:rPr>
        <w:t>ntegration and the Regulation</w:t>
      </w:r>
      <w:r>
        <w:rPr>
          <w:rFonts w:eastAsia="Arial Unicode MS"/>
          <w:noProof/>
        </w:rPr>
        <w:t xml:space="preserve"> (EU) […]</w:t>
      </w:r>
      <w:r w:rsidRPr="005A598E">
        <w:rPr>
          <w:rFonts w:eastAsia="Arial Unicode MS"/>
          <w:noProof/>
        </w:rPr>
        <w:t xml:space="preserve"> establishing the Union </w:t>
      </w:r>
      <w:r>
        <w:rPr>
          <w:rFonts w:eastAsia="Arial Unicode MS"/>
          <w:noProof/>
        </w:rPr>
        <w:t>s</w:t>
      </w:r>
      <w:r w:rsidRPr="005A598E">
        <w:rPr>
          <w:rFonts w:eastAsia="Arial Unicode MS"/>
          <w:noProof/>
        </w:rPr>
        <w:t>upport for internal security</w:t>
      </w:r>
      <w:r w:rsidRPr="002263FC">
        <w:rPr>
          <w:noProof/>
        </w:rPr>
        <w:t>.</w:t>
      </w:r>
      <w:r w:rsidRPr="002414D5">
        <w:rPr>
          <w:b/>
          <w:bCs/>
          <w:noProof/>
          <w:u w:val="single"/>
        </w:rPr>
        <w:t>]</w:t>
      </w:r>
    </w:p>
    <w:p w14:paraId="6A605537" w14:textId="77777777" w:rsidR="006C298A" w:rsidRPr="005A598E" w:rsidRDefault="006C298A" w:rsidP="009C5035">
      <w:pPr>
        <w:pStyle w:val="ManualConsidrant"/>
        <w:rPr>
          <w:noProof/>
        </w:rPr>
      </w:pPr>
      <w:r w:rsidRPr="003347AC">
        <w:rPr>
          <w:noProof/>
        </w:rPr>
        <w:t>(8)</w:t>
      </w:r>
      <w:r w:rsidRPr="003347AC">
        <w:rPr>
          <w:noProof/>
        </w:rPr>
        <w:tab/>
      </w:r>
      <w:r w:rsidRPr="005A598E">
        <w:rPr>
          <w:noProof/>
        </w:rPr>
        <w:t>The Union support should build on the results and investments from the previous programming periods: (i) the External Borders Fund for the period 2007-2013 established by Decision No 574/2007/EC of the European Parliament and of the Council</w:t>
      </w:r>
      <w:r w:rsidRPr="005A598E">
        <w:rPr>
          <w:rStyle w:val="FootnoteReference"/>
          <w:noProof/>
        </w:rPr>
        <w:footnoteReference w:id="4"/>
      </w:r>
      <w:r w:rsidRPr="005A598E">
        <w:rPr>
          <w:noProof/>
        </w:rPr>
        <w:t>; (ii)</w:t>
      </w:r>
      <w:r w:rsidRPr="005A598E">
        <w:rPr>
          <w:rStyle w:val="FootnoteReference"/>
          <w:noProof/>
        </w:rPr>
        <w:t xml:space="preserve"> </w:t>
      </w:r>
      <w:r w:rsidRPr="005A598E">
        <w:rPr>
          <w:noProof/>
        </w:rPr>
        <w:t>the instrument for external borders and visa as part of the Internal Security Fund for the period 2014-2020 established by Regulation (EU) No 515/2014 of the European Parliament and of the Council</w:t>
      </w:r>
      <w:r w:rsidRPr="005A598E">
        <w:rPr>
          <w:rStyle w:val="FootnoteReference"/>
          <w:noProof/>
        </w:rPr>
        <w:footnoteReference w:id="5"/>
      </w:r>
      <w:r w:rsidRPr="005A598E">
        <w:rPr>
          <w:noProof/>
        </w:rPr>
        <w:t xml:space="preserve">; </w:t>
      </w:r>
      <w:r w:rsidRPr="005A598E">
        <w:rPr>
          <w:noProof/>
        </w:rPr>
        <w:lastRenderedPageBreak/>
        <w:t>and (iii) the instrument for financial support for border management and visa policy as part of the Integrated Border Management Fund for the period 2021-2027, established by Regulation (EU) 2021/1148 of the European Parliament and of the Council</w:t>
      </w:r>
      <w:r w:rsidRPr="005A598E">
        <w:rPr>
          <w:rStyle w:val="FootnoteReference"/>
          <w:noProof/>
          <w:szCs w:val="24"/>
        </w:rPr>
        <w:footnoteReference w:id="6"/>
      </w:r>
      <w:r w:rsidRPr="005A598E">
        <w:rPr>
          <w:noProof/>
        </w:rPr>
        <w:t xml:space="preserve">. </w:t>
      </w:r>
    </w:p>
    <w:p w14:paraId="0CB21F09" w14:textId="77777777" w:rsidR="006C298A" w:rsidRPr="005A598E" w:rsidRDefault="006C298A" w:rsidP="009C5035">
      <w:pPr>
        <w:pStyle w:val="ManualConsidrant"/>
        <w:rPr>
          <w:rFonts w:eastAsia="Arial Unicode MS"/>
          <w:noProof/>
          <w:szCs w:val="24"/>
          <w:lang w:eastAsia="en-IE"/>
        </w:rPr>
      </w:pPr>
      <w:r w:rsidRPr="003347AC">
        <w:rPr>
          <w:noProof/>
        </w:rPr>
        <w:t>(9)</w:t>
      </w:r>
      <w:r w:rsidRPr="003347AC">
        <w:rPr>
          <w:noProof/>
        </w:rPr>
        <w:tab/>
      </w:r>
      <w:r w:rsidRPr="005A598E">
        <w:rPr>
          <w:noProof/>
        </w:rPr>
        <w:t xml:space="preserve">In the face of a changing global landscape and growing instability, the Union and its Member States need to combine their resources </w:t>
      </w:r>
      <w:r w:rsidRPr="005A598E">
        <w:rPr>
          <w:noProof/>
          <w:szCs w:val="24"/>
        </w:rPr>
        <w:t xml:space="preserve">to protect the Union’s external borders effectively, including </w:t>
      </w:r>
      <w:r w:rsidRPr="005A598E">
        <w:rPr>
          <w:noProof/>
        </w:rPr>
        <w:t>to address irregular migra</w:t>
      </w:r>
      <w:r>
        <w:rPr>
          <w:noProof/>
        </w:rPr>
        <w:t>tion</w:t>
      </w:r>
      <w:r w:rsidRPr="005A598E">
        <w:rPr>
          <w:noProof/>
        </w:rPr>
        <w:t>, smuggling of migrants</w:t>
      </w:r>
      <w:r>
        <w:rPr>
          <w:noProof/>
        </w:rPr>
        <w:t>, trafficking in human beings,</w:t>
      </w:r>
      <w:r w:rsidRPr="005A598E">
        <w:rPr>
          <w:noProof/>
        </w:rPr>
        <w:t xml:space="preserve"> and</w:t>
      </w:r>
      <w:r>
        <w:rPr>
          <w:noProof/>
        </w:rPr>
        <w:t xml:space="preserve"> top respond to </w:t>
      </w:r>
      <w:r w:rsidRPr="00BD1EAF">
        <w:rPr>
          <w:noProof/>
        </w:rPr>
        <w:t xml:space="preserve">State actors artificially creating and facilitating irregular migration, </w:t>
      </w:r>
      <w:r>
        <w:rPr>
          <w:noProof/>
        </w:rPr>
        <w:t xml:space="preserve">instrumentalising </w:t>
      </w:r>
      <w:r w:rsidRPr="00BD1EAF">
        <w:rPr>
          <w:noProof/>
        </w:rPr>
        <w:t xml:space="preserve">migratory flows as a tool for political purposes, </w:t>
      </w:r>
      <w:r>
        <w:rPr>
          <w:noProof/>
        </w:rPr>
        <w:t xml:space="preserve">and </w:t>
      </w:r>
      <w:r w:rsidRPr="00BD1EAF">
        <w:rPr>
          <w:noProof/>
        </w:rPr>
        <w:t>us</w:t>
      </w:r>
      <w:r>
        <w:rPr>
          <w:noProof/>
        </w:rPr>
        <w:t>ing</w:t>
      </w:r>
      <w:r w:rsidRPr="00BD1EAF">
        <w:rPr>
          <w:noProof/>
        </w:rPr>
        <w:t xml:space="preserve"> hybrid warfare tactics, such as the</w:t>
      </w:r>
      <w:r>
        <w:rPr>
          <w:noProof/>
        </w:rPr>
        <w:t xml:space="preserve"> </w:t>
      </w:r>
      <w:r w:rsidRPr="00BD52A3">
        <w:rPr>
          <w:noProof/>
        </w:rPr>
        <w:t>weaponi</w:t>
      </w:r>
      <w:r>
        <w:rPr>
          <w:noProof/>
        </w:rPr>
        <w:t>sation of</w:t>
      </w:r>
      <w:r w:rsidRPr="00BD52A3">
        <w:rPr>
          <w:noProof/>
        </w:rPr>
        <w:t xml:space="preserve"> migration</w:t>
      </w:r>
      <w:r>
        <w:rPr>
          <w:rStyle w:val="FootnoteReference"/>
          <w:noProof/>
        </w:rPr>
        <w:footnoteReference w:id="7"/>
      </w:r>
      <w:r>
        <w:rPr>
          <w:noProof/>
        </w:rPr>
        <w:t xml:space="preserve">, </w:t>
      </w:r>
      <w:r w:rsidRPr="00BD1EAF">
        <w:rPr>
          <w:noProof/>
        </w:rPr>
        <w:t>to destabilise the European Union and its Member States</w:t>
      </w:r>
      <w:r w:rsidRPr="005A598E">
        <w:rPr>
          <w:noProof/>
          <w:szCs w:val="24"/>
        </w:rPr>
        <w:t xml:space="preserve">. In the interest of solidarity in the Schengen area as a whole and in the spirit of shared responsibility for the protection of the Union’s external borders, the </w:t>
      </w:r>
      <w:r w:rsidRPr="005A598E" w:rsidDel="00580D96">
        <w:rPr>
          <w:noProof/>
          <w:szCs w:val="24"/>
        </w:rPr>
        <w:t xml:space="preserve">Member State’s National and Regional Partnership </w:t>
      </w:r>
      <w:r w:rsidRPr="005A598E">
        <w:rPr>
          <w:noProof/>
          <w:szCs w:val="24"/>
        </w:rPr>
        <w:t>Plan should adequately address the challenges identified, notably in the context of the European Integrated Border Management Strategy, the European Visa Policy Strategy and in the new Schengen IT architecture relying on the large-scale inform</w:t>
      </w:r>
      <w:r w:rsidRPr="005A598E">
        <w:rPr>
          <w:noProof/>
          <w:szCs w:val="24"/>
        </w:rPr>
        <w:t xml:space="preserve">ation technology (IT) systems deployed for external borders and security management as well as on the interoperability of those systems. Furthermore, in support of the border control mission, the deployment of technology and digital solutions should be considered.  </w:t>
      </w:r>
      <w:r w:rsidRPr="005A598E">
        <w:rPr>
          <w:noProof/>
        </w:rPr>
        <w:t xml:space="preserve"> </w:t>
      </w:r>
    </w:p>
    <w:p w14:paraId="285D6002" w14:textId="77777777" w:rsidR="006C298A" w:rsidRDefault="006C298A" w:rsidP="009C5035">
      <w:pPr>
        <w:pStyle w:val="ManualConsidrant"/>
        <w:rPr>
          <w:noProof/>
        </w:rPr>
      </w:pPr>
      <w:r w:rsidRPr="003347AC">
        <w:rPr>
          <w:noProof/>
        </w:rPr>
        <w:t>(10)</w:t>
      </w:r>
      <w:r w:rsidRPr="003347AC">
        <w:rPr>
          <w:noProof/>
        </w:rPr>
        <w:tab/>
      </w:r>
      <w:r>
        <w:rPr>
          <w:noProof/>
        </w:rPr>
        <w:t>The Union support should contribute to ensuring consistency, coherence, synergies and complementarities between the Union’s internal and external policies. An increased coherence is needed between migration, asylum, return and external policies and it is important to ensure that the Union’s external assistance and Union support under this Regulation contribute to a coordinated, holistic and structured approach to migration, maximising synergies and increasing leverage. Union support under this Regulation m</w:t>
      </w:r>
      <w:r>
        <w:rPr>
          <w:noProof/>
        </w:rPr>
        <w:t>ay also include support to the relevant resources of the EU delegations in duly justified cases, and be coordinated between the Member States and the Commission in programming and implementation stages.</w:t>
      </w:r>
    </w:p>
    <w:p w14:paraId="2138E7FF" w14:textId="77777777" w:rsidR="006C298A" w:rsidRPr="005A598E" w:rsidRDefault="006C298A" w:rsidP="009C5035">
      <w:pPr>
        <w:pStyle w:val="ManualConsidrant"/>
        <w:rPr>
          <w:noProof/>
        </w:rPr>
      </w:pPr>
      <w:r w:rsidRPr="003347AC">
        <w:rPr>
          <w:noProof/>
        </w:rPr>
        <w:t>(11)</w:t>
      </w:r>
      <w:r w:rsidRPr="003347AC">
        <w:rPr>
          <w:noProof/>
        </w:rPr>
        <w:tab/>
      </w:r>
      <w:r w:rsidRPr="005A598E">
        <w:rPr>
          <w:noProof/>
        </w:rPr>
        <w:t>Europe must protect its security interest against suppliers which could represent a persistent security risk due to the potential interference from third countries as well as their cybersecurity practices. It is therefore necessary to reduce the risk of persisting dependency on high-risk suppliers in the internal market, as they could have potentially serious negative impacts on security for users, companies and authorities across the EU and the EU’s critical infrastructure in terms of the integrity of dat</w:t>
      </w:r>
      <w:r w:rsidRPr="005A598E">
        <w:rPr>
          <w:noProof/>
        </w:rPr>
        <w:t>a and services as well as the availability of service. This exclusion should be based on a proportionate risk assessment and associated mitigation measures as defined in the Union policies and laws.</w:t>
      </w:r>
    </w:p>
    <w:p w14:paraId="1F28EF1D" w14:textId="77777777" w:rsidR="006C298A" w:rsidRPr="005A598E" w:rsidRDefault="006C298A" w:rsidP="009C5035">
      <w:pPr>
        <w:pStyle w:val="ManualConsidrant"/>
        <w:rPr>
          <w:rFonts w:eastAsia="Arial Unicode MS"/>
          <w:noProof/>
          <w:szCs w:val="24"/>
          <w:lang w:eastAsia="en-IE"/>
        </w:rPr>
      </w:pPr>
      <w:r w:rsidRPr="003347AC">
        <w:rPr>
          <w:noProof/>
        </w:rPr>
        <w:t>(12)</w:t>
      </w:r>
      <w:r w:rsidRPr="003347AC">
        <w:rPr>
          <w:noProof/>
        </w:rPr>
        <w:tab/>
      </w:r>
      <w:r w:rsidRPr="005A598E">
        <w:rPr>
          <w:noProof/>
        </w:rPr>
        <w:t xml:space="preserve">As challenges in border management and visa policy are constantly evolving, there is a need to adapt the allocation of Union support to changes in priorities for external border management and visa policy, including changes that result from increased pressure at the border, and a need to steer funding towards the priorities with the highest Union added value. </w:t>
      </w:r>
      <w:r w:rsidRPr="005A598E">
        <w:rPr>
          <w:noProof/>
        </w:rPr>
        <w:lastRenderedPageBreak/>
        <w:t xml:space="preserve">To respond to pressing needs and changes in policy and Union priorities, and to steer funding towards actions with a high </w:t>
      </w:r>
      <w:r w:rsidRPr="006B3F48">
        <w:rPr>
          <w:noProof/>
        </w:rPr>
        <w:t>level of Union added value,</w:t>
      </w:r>
      <w:r w:rsidRPr="006B3F48">
        <w:rPr>
          <w:noProof/>
        </w:rPr>
        <w:t xml:space="preserve"> part of the Union support should be implemented in direct, shared and indirect management via the EU Facility established pursuant to Regulation (EU) […] </w:t>
      </w:r>
      <w:r w:rsidRPr="006B3F48">
        <w:rPr>
          <w:rFonts w:eastAsia="Arial Unicode MS"/>
          <w:noProof/>
          <w:color w:val="000000" w:themeColor="text1"/>
        </w:rPr>
        <w:t>establishing the European Fund for economic, social and territorial cohesion, agriculture and rural, fisheries and maritime, prosperity and security</w:t>
      </w:r>
      <w:r w:rsidRPr="006B3F48">
        <w:rPr>
          <w:noProof/>
        </w:rPr>
        <w:t>. The EU Facility offers flexibility in the management of the Union support</w:t>
      </w:r>
      <w:r w:rsidRPr="005A598E">
        <w:rPr>
          <w:noProof/>
        </w:rPr>
        <w:t>, and, for shared management, it should be implemented through the Member States’ National and Regional Partnership Plans.</w:t>
      </w:r>
    </w:p>
    <w:p w14:paraId="0069FE56" w14:textId="77777777" w:rsidR="006C298A" w:rsidRPr="005A598E" w:rsidRDefault="006C298A" w:rsidP="009C5035">
      <w:pPr>
        <w:pStyle w:val="ManualConsidrant"/>
        <w:rPr>
          <w:rFonts w:eastAsia="Arial Unicode MS"/>
          <w:noProof/>
          <w:szCs w:val="24"/>
          <w:lang w:eastAsia="en-IE"/>
        </w:rPr>
      </w:pPr>
      <w:r w:rsidRPr="003347AC">
        <w:rPr>
          <w:noProof/>
        </w:rPr>
        <w:t>(13)</w:t>
      </w:r>
      <w:r w:rsidRPr="003347AC">
        <w:rPr>
          <w:noProof/>
        </w:rPr>
        <w:tab/>
      </w:r>
      <w:r w:rsidRPr="005A598E">
        <w:rPr>
          <w:noProof/>
        </w:rPr>
        <w:t>The Commission and the Member States should ensure that the knowledge and experience of Union bodies, offices and agencies are taken into account when implementing measures or addressing challenges in relation to migration management, border control and management and internal security. Where appropriate, the Commission should also be able to involve the relevant Union bodies, offices and agencies in activities aiming to ensure that the measures supported by the Union support comply with the relevant Union</w:t>
      </w:r>
      <w:r w:rsidRPr="005A598E">
        <w:rPr>
          <w:noProof/>
        </w:rPr>
        <w:t xml:space="preserve"> </w:t>
      </w:r>
      <w:r w:rsidRPr="005A598E">
        <w:rPr>
          <w:i/>
          <w:iCs/>
          <w:noProof/>
        </w:rPr>
        <w:t>acquis</w:t>
      </w:r>
      <w:r w:rsidRPr="005A598E">
        <w:rPr>
          <w:noProof/>
        </w:rPr>
        <w:t xml:space="preserve"> and agreed Union priorities.</w:t>
      </w:r>
    </w:p>
    <w:p w14:paraId="7D4ED1B3" w14:textId="77777777" w:rsidR="006C298A" w:rsidRPr="005A598E" w:rsidRDefault="006C298A" w:rsidP="009C5035">
      <w:pPr>
        <w:pStyle w:val="ManualConsidrant"/>
        <w:rPr>
          <w:noProof/>
        </w:rPr>
      </w:pPr>
      <w:r w:rsidRPr="003347AC">
        <w:rPr>
          <w:noProof/>
        </w:rPr>
        <w:t>(14)</w:t>
      </w:r>
      <w:r w:rsidRPr="003347AC">
        <w:rPr>
          <w:noProof/>
        </w:rPr>
        <w:tab/>
      </w:r>
      <w:r w:rsidRPr="005A598E">
        <w:rPr>
          <w:noProof/>
        </w:rPr>
        <w:t xml:space="preserve">The Union support should support measures linked to external border control in the territory of the countries applying the Schengen acquis as part of the implementation of the European integrated border management, which strengthens the overall functioning of the Schengen area. In order to specify the nature and modes of participation in the Union support of countries associated with the implementation, application and development of the Schengen acquis, further arrangements should be concluded between the </w:t>
      </w:r>
      <w:r w:rsidRPr="005A598E">
        <w:rPr>
          <w:noProof/>
        </w:rPr>
        <w:t xml:space="preserve">Union and those countries under the relevant provisions of the respective association agreements between those countries and the Union. </w:t>
      </w:r>
    </w:p>
    <w:p w14:paraId="53CFC387" w14:textId="77777777" w:rsidR="006C298A" w:rsidRPr="005A598E" w:rsidRDefault="006C298A" w:rsidP="009C5035">
      <w:pPr>
        <w:pStyle w:val="ManualConsidrant"/>
        <w:rPr>
          <w:noProof/>
        </w:rPr>
      </w:pPr>
      <w:r w:rsidRPr="003347AC">
        <w:rPr>
          <w:noProof/>
        </w:rPr>
        <w:t>(15)</w:t>
      </w:r>
      <w:r w:rsidRPr="003347AC">
        <w:rPr>
          <w:noProof/>
        </w:rPr>
        <w:tab/>
      </w:r>
      <w:r w:rsidRPr="005A598E">
        <w:rPr>
          <w:noProof/>
        </w:rPr>
        <w:t>The Union support should continue contributing to the implementation, development and governance of the Schengen area to promote an area without control at internal borders. It should continue supporting measures linked to external border control in the territory of the countries applying the Schengen acquis as part of the implementation of the European integrated border management, which strengthens the overall functioning of the Schengen area.</w:t>
      </w:r>
    </w:p>
    <w:p w14:paraId="648CF1E0" w14:textId="77777777" w:rsidR="006C298A" w:rsidRPr="005A598E" w:rsidRDefault="006C298A" w:rsidP="009C5035">
      <w:pPr>
        <w:pStyle w:val="ManualConsidrant"/>
        <w:rPr>
          <w:noProof/>
        </w:rPr>
      </w:pPr>
      <w:r w:rsidRPr="003347AC">
        <w:rPr>
          <w:noProof/>
        </w:rPr>
        <w:t>(16)</w:t>
      </w:r>
      <w:r w:rsidRPr="003347AC">
        <w:rPr>
          <w:noProof/>
        </w:rPr>
        <w:tab/>
      </w:r>
      <w:r w:rsidRPr="005A598E">
        <w:rPr>
          <w:noProof/>
        </w:rPr>
        <w:t xml:space="preserve">The Union support should contribute to modernising and improving the efficiency of visa processing in terms of detecting and assessing security and irregular migration risks, ensuring effective implementation of the Visa Code. In particular, the Union support should contribute to the digitalisation of visa processing with the objective of providing fast, secure and client-friendly visa procedures for the benefit of both visa applicants and consulates. The Union support should also serve to improve service </w:t>
      </w:r>
      <w:r w:rsidRPr="005A598E">
        <w:rPr>
          <w:noProof/>
        </w:rPr>
        <w:t>to visa applicants, including through a better coverage of consular services across the world.</w:t>
      </w:r>
    </w:p>
    <w:p w14:paraId="0E28046E" w14:textId="77777777" w:rsidR="006C298A" w:rsidRPr="005A598E" w:rsidRDefault="006C298A" w:rsidP="009C5035">
      <w:pPr>
        <w:pStyle w:val="ManualConsidrant"/>
        <w:rPr>
          <w:noProof/>
        </w:rPr>
      </w:pPr>
      <w:bookmarkStart w:id="4" w:name="_Hlk201962914"/>
      <w:r w:rsidRPr="003347AC">
        <w:rPr>
          <w:noProof/>
        </w:rPr>
        <w:t>(17)</w:t>
      </w:r>
      <w:r w:rsidRPr="003347AC">
        <w:rPr>
          <w:noProof/>
        </w:rPr>
        <w:tab/>
      </w:r>
      <w:r w:rsidRPr="005A598E">
        <w:rPr>
          <w:noProof/>
        </w:rPr>
        <w:t>The Member States may build on the principle of partnership in the implementation of the Union support to ensure continuity in the governance approach.</w:t>
      </w:r>
      <w:bookmarkEnd w:id="4"/>
    </w:p>
    <w:p w14:paraId="303EB293" w14:textId="77777777" w:rsidR="006C298A" w:rsidRPr="00673D2F" w:rsidRDefault="006C298A" w:rsidP="009C5035">
      <w:pPr>
        <w:pStyle w:val="ManualConsidrant"/>
        <w:rPr>
          <w:noProof/>
        </w:rPr>
      </w:pPr>
      <w:r w:rsidRPr="003347AC">
        <w:rPr>
          <w:noProof/>
        </w:rPr>
        <w:t>(18)</w:t>
      </w:r>
      <w:r w:rsidRPr="003347AC">
        <w:rPr>
          <w:noProof/>
        </w:rPr>
        <w:tab/>
      </w:r>
      <w:r w:rsidRPr="005A598E">
        <w:rPr>
          <w:noProof/>
        </w:rPr>
        <w:t>Pursuant to Article 86 of Regulation (EU) 2018/1240 of the European Parliament and of the Council</w:t>
      </w:r>
      <w:r w:rsidRPr="005A598E">
        <w:rPr>
          <w:rStyle w:val="FootnoteReference"/>
          <w:noProof/>
          <w:szCs w:val="24"/>
        </w:rPr>
        <w:footnoteReference w:id="8"/>
      </w:r>
      <w:r w:rsidRPr="005A598E">
        <w:rPr>
          <w:noProof/>
        </w:rPr>
        <w:t xml:space="preserve">, the operating costs of the European Travel Information and Authorisation System </w:t>
      </w:r>
      <w:r w:rsidRPr="005A598E">
        <w:rPr>
          <w:noProof/>
        </w:rPr>
        <w:lastRenderedPageBreak/>
        <w:t xml:space="preserve">(ETIAS) should be covered by the revenues generated by the travel authorisation fees. </w:t>
      </w:r>
      <w:r w:rsidRPr="00BA0959">
        <w:rPr>
          <w:b/>
          <w:bCs/>
          <w:noProof/>
          <w:u w:val="single"/>
        </w:rPr>
        <w:t>[</w:t>
      </w:r>
      <w:r w:rsidRPr="005A598E">
        <w:rPr>
          <w:noProof/>
        </w:rPr>
        <w:t xml:space="preserve">This Regulation should lay down rules </w:t>
      </w:r>
      <w:r>
        <w:rPr>
          <w:noProof/>
        </w:rPr>
        <w:t xml:space="preserve">in order to make available to Member States </w:t>
      </w:r>
      <w:r w:rsidRPr="005A598E">
        <w:rPr>
          <w:noProof/>
        </w:rPr>
        <w:t>the</w:t>
      </w:r>
      <w:r>
        <w:rPr>
          <w:noProof/>
        </w:rPr>
        <w:t>ir respective</w:t>
      </w:r>
      <w:r w:rsidRPr="005A598E">
        <w:rPr>
          <w:noProof/>
        </w:rPr>
        <w:t xml:space="preserve"> </w:t>
      </w:r>
      <w:r>
        <w:rPr>
          <w:noProof/>
        </w:rPr>
        <w:t xml:space="preserve">share </w:t>
      </w:r>
      <w:r w:rsidRPr="005A598E">
        <w:rPr>
          <w:noProof/>
        </w:rPr>
        <w:t>of ETIAS fees to cover the</w:t>
      </w:r>
      <w:r>
        <w:rPr>
          <w:noProof/>
        </w:rPr>
        <w:t>ir</w:t>
      </w:r>
      <w:r w:rsidRPr="005A598E">
        <w:rPr>
          <w:noProof/>
        </w:rPr>
        <w:t xml:space="preserve"> </w:t>
      </w:r>
      <w:r w:rsidRPr="00673D2F">
        <w:rPr>
          <w:noProof/>
        </w:rPr>
        <w:t xml:space="preserve">relevant </w:t>
      </w:r>
      <w:r>
        <w:rPr>
          <w:noProof/>
        </w:rPr>
        <w:t xml:space="preserve">operating </w:t>
      </w:r>
      <w:r w:rsidRPr="00673D2F">
        <w:rPr>
          <w:noProof/>
        </w:rPr>
        <w:t xml:space="preserve">costs, </w:t>
      </w:r>
      <w:bookmarkStart w:id="5" w:name="_Hlk202881236"/>
      <w:r w:rsidRPr="00673D2F">
        <w:rPr>
          <w:noProof/>
        </w:rPr>
        <w:t xml:space="preserve">including modalities in cases when </w:t>
      </w:r>
      <w:r>
        <w:rPr>
          <w:noProof/>
        </w:rPr>
        <w:t>their total operating costs in a given year exceed the available</w:t>
      </w:r>
      <w:r w:rsidRPr="00673D2F">
        <w:rPr>
          <w:noProof/>
        </w:rPr>
        <w:t xml:space="preserve"> </w:t>
      </w:r>
      <w:r>
        <w:rPr>
          <w:noProof/>
        </w:rPr>
        <w:t xml:space="preserve">ETIAS </w:t>
      </w:r>
      <w:r w:rsidRPr="00673D2F">
        <w:rPr>
          <w:noProof/>
        </w:rPr>
        <w:t>revenue</w:t>
      </w:r>
      <w:bookmarkEnd w:id="5"/>
      <w:r w:rsidRPr="00673D2F">
        <w:rPr>
          <w:noProof/>
        </w:rPr>
        <w:t>.</w:t>
      </w:r>
      <w:r w:rsidRPr="00BA0959">
        <w:rPr>
          <w:b/>
          <w:bCs/>
          <w:noProof/>
          <w:u w:val="single"/>
        </w:rPr>
        <w:t>]</w:t>
      </w:r>
      <w:r w:rsidRPr="00673D2F">
        <w:rPr>
          <w:noProof/>
        </w:rPr>
        <w:t xml:space="preserve"> </w:t>
      </w:r>
    </w:p>
    <w:p w14:paraId="7055773C" w14:textId="77777777" w:rsidR="006C298A" w:rsidRDefault="006C298A" w:rsidP="009C5035">
      <w:pPr>
        <w:pStyle w:val="ManualConsidrant"/>
        <w:rPr>
          <w:noProof/>
          <w:lang w:eastAsia="en-IE"/>
        </w:rPr>
      </w:pPr>
      <w:r w:rsidRPr="003347AC">
        <w:rPr>
          <w:noProof/>
        </w:rPr>
        <w:t>(19)</w:t>
      </w:r>
      <w:r w:rsidRPr="003347AC">
        <w:rPr>
          <w:noProof/>
        </w:rPr>
        <w:tab/>
      </w:r>
      <w:r w:rsidRPr="005A598E">
        <w:rPr>
          <w:noProof/>
          <w:lang w:eastAsia="en-IE"/>
        </w:rPr>
        <w:t xml:space="preserve">Given that Member States subject to migratory pressure should be able to rely on Union support, this Regulation should set out the rules </w:t>
      </w:r>
      <w:r>
        <w:rPr>
          <w:noProof/>
          <w:lang w:eastAsia="en-IE"/>
        </w:rPr>
        <w:t xml:space="preserve">in order to make available to benefitting Member States the respective share of the financial </w:t>
      </w:r>
      <w:r w:rsidRPr="005A598E">
        <w:rPr>
          <w:noProof/>
          <w:lang w:eastAsia="en-IE"/>
        </w:rPr>
        <w:t>contributions included in the Annual Solidarity Pool established by Regulation (EU) 2024/1351</w:t>
      </w:r>
      <w:r w:rsidRPr="005A598E">
        <w:rPr>
          <w:rStyle w:val="FootnoteReference"/>
          <w:rFonts w:eastAsia="Arial Unicode MS"/>
          <w:noProof/>
          <w:szCs w:val="24"/>
          <w:lang w:eastAsia="en-IE"/>
        </w:rPr>
        <w:footnoteReference w:id="9"/>
      </w:r>
      <w:r w:rsidRPr="005A598E">
        <w:rPr>
          <w:noProof/>
          <w:lang w:eastAsia="en-IE"/>
        </w:rPr>
        <w:t>.</w:t>
      </w:r>
    </w:p>
    <w:p w14:paraId="19CC1DBA" w14:textId="77777777" w:rsidR="006C298A" w:rsidRPr="00DE6BD0" w:rsidRDefault="006C298A" w:rsidP="009C5035">
      <w:pPr>
        <w:pStyle w:val="ManualConsidrant"/>
        <w:rPr>
          <w:noProof/>
          <w:lang w:eastAsia="en-IE"/>
        </w:rPr>
      </w:pPr>
      <w:bookmarkStart w:id="6" w:name="_Hlk202881260"/>
      <w:r w:rsidRPr="003347AC">
        <w:rPr>
          <w:noProof/>
        </w:rPr>
        <w:t>(20)</w:t>
      </w:r>
      <w:r w:rsidRPr="003347AC">
        <w:rPr>
          <w:noProof/>
        </w:rPr>
        <w:tab/>
      </w:r>
      <w:r w:rsidRPr="00EB17BC">
        <w:rPr>
          <w:noProof/>
        </w:rPr>
        <w:t xml:space="preserve">All actions </w:t>
      </w:r>
      <w:r>
        <w:rPr>
          <w:noProof/>
        </w:rPr>
        <w:t xml:space="preserve">supported in accordance </w:t>
      </w:r>
      <w:r w:rsidRPr="003651E9">
        <w:rPr>
          <w:noProof/>
        </w:rPr>
        <w:t xml:space="preserve">with </w:t>
      </w:r>
      <w:r>
        <w:rPr>
          <w:noProof/>
        </w:rPr>
        <w:t xml:space="preserve">the Union support under </w:t>
      </w:r>
      <w:r w:rsidRPr="003651E9">
        <w:rPr>
          <w:noProof/>
        </w:rPr>
        <w:t xml:space="preserve">this </w:t>
      </w:r>
      <w:r>
        <w:rPr>
          <w:noProof/>
        </w:rPr>
        <w:t>Regulation</w:t>
      </w:r>
      <w:r w:rsidRPr="003651E9">
        <w:rPr>
          <w:noProof/>
        </w:rPr>
        <w:t xml:space="preserve"> should</w:t>
      </w:r>
      <w:r w:rsidRPr="00EB17BC">
        <w:rPr>
          <w:noProof/>
        </w:rPr>
        <w:t xml:space="preserve"> be implemented in compliance with the rights and principles enshrined in the Union </w:t>
      </w:r>
      <w:r w:rsidRPr="00EB17BC">
        <w:rPr>
          <w:i/>
          <w:iCs/>
          <w:noProof/>
        </w:rPr>
        <w:t>acquis</w:t>
      </w:r>
      <w:r w:rsidRPr="00EB17BC">
        <w:rPr>
          <w:noProof/>
        </w:rPr>
        <w:t> and the Charter of Fundamental Rights of the European Union and should be in line with the international obligations of the Union and the Member States arising from the international instruments to which they are party</w:t>
      </w:r>
      <w:r>
        <w:rPr>
          <w:noProof/>
        </w:rPr>
        <w:t>.</w:t>
      </w:r>
    </w:p>
    <w:bookmarkEnd w:id="6"/>
    <w:p w14:paraId="469D35D2" w14:textId="77777777" w:rsidR="006C298A" w:rsidRPr="005A598E" w:rsidRDefault="006C298A" w:rsidP="009C5035">
      <w:pPr>
        <w:pStyle w:val="ManualConsidrant"/>
        <w:rPr>
          <w:noProof/>
        </w:rPr>
      </w:pPr>
      <w:r w:rsidRPr="003347AC">
        <w:rPr>
          <w:noProof/>
        </w:rPr>
        <w:t>(21)</w:t>
      </w:r>
      <w:r w:rsidRPr="003347AC">
        <w:rPr>
          <w:noProof/>
        </w:rPr>
        <w:tab/>
      </w:r>
      <w:r w:rsidRPr="005A598E">
        <w:rPr>
          <w:noProof/>
        </w:rPr>
        <w:t>In accordance with Protocol No 5 to the 2003 Act of Accession on the transit of persons by land between the region of Kaliningrad and other parts of the Russian Federation</w:t>
      </w:r>
      <w:r w:rsidRPr="005A598E">
        <w:rPr>
          <w:rStyle w:val="FootnoteReference"/>
          <w:noProof/>
          <w:szCs w:val="24"/>
        </w:rPr>
        <w:footnoteReference w:id="10"/>
      </w:r>
      <w:r w:rsidRPr="005A598E">
        <w:rPr>
          <w:noProof/>
        </w:rPr>
        <w:t>,  the Union shall assist Lithuania in managing the transit of persons between the region of Kaliningrad and the other parts of the Russian Federation and shall, notably, bear any additional costs incurred by implementing the specific provisions of the acquis providing for such transit. Therefore, this Regulation should lay down the rules for the financial support for Special Transit Scheme set out by Council Regulation (EC) No 693/2003</w:t>
      </w:r>
      <w:r w:rsidRPr="005A598E">
        <w:rPr>
          <w:rStyle w:val="FootnoteReference"/>
          <w:noProof/>
          <w:szCs w:val="24"/>
        </w:rPr>
        <w:footnoteReference w:id="11"/>
      </w:r>
      <w:r w:rsidRPr="005A598E">
        <w:rPr>
          <w:noProof/>
        </w:rPr>
        <w:t>.</w:t>
      </w:r>
    </w:p>
    <w:p w14:paraId="18269D8C" w14:textId="77777777" w:rsidR="006C298A" w:rsidRPr="005A598E" w:rsidRDefault="006C298A" w:rsidP="009C5035">
      <w:pPr>
        <w:pStyle w:val="ManualConsidrant"/>
        <w:rPr>
          <w:noProof/>
        </w:rPr>
      </w:pPr>
      <w:r w:rsidRPr="003347AC">
        <w:rPr>
          <w:noProof/>
        </w:rPr>
        <w:t>(22)</w:t>
      </w:r>
      <w:r w:rsidRPr="003347AC">
        <w:rPr>
          <w:noProof/>
        </w:rPr>
        <w:tab/>
      </w:r>
      <w:r w:rsidRPr="005A598E">
        <w:rPr>
          <w:noProof/>
        </w:rPr>
        <w:t xml:space="preserve">As regards Iceland and Norway, this Regulation constitutes a development of the provisions of the Schengen acquis within the meaning of the Agreement concluded by the Council of the European Union and the Republic of Iceland and the Kingdom of Norway concerning the latters’ association with the implementation, application and development of the Schengen </w:t>
      </w:r>
      <w:r w:rsidRPr="005A598E">
        <w:rPr>
          <w:noProof/>
        </w:rPr>
        <w:lastRenderedPageBreak/>
        <w:t>acquis</w:t>
      </w:r>
      <w:r w:rsidRPr="005A598E">
        <w:rPr>
          <w:rStyle w:val="FootnoteReference"/>
          <w:noProof/>
          <w:szCs w:val="24"/>
        </w:rPr>
        <w:footnoteReference w:id="12"/>
      </w:r>
      <w:r w:rsidRPr="005A598E">
        <w:rPr>
          <w:noProof/>
        </w:rPr>
        <w:t xml:space="preserve"> which fall within the area referred to in Article 1, points A and B of Council Decision 1999/437/EC</w:t>
      </w:r>
      <w:r w:rsidRPr="005A598E">
        <w:rPr>
          <w:rStyle w:val="FootnoteReference"/>
          <w:noProof/>
          <w:szCs w:val="24"/>
        </w:rPr>
        <w:footnoteReference w:id="13"/>
      </w:r>
      <w:r w:rsidRPr="005A598E">
        <w:rPr>
          <w:noProof/>
        </w:rPr>
        <w:t>.</w:t>
      </w:r>
    </w:p>
    <w:p w14:paraId="1C76B8B0" w14:textId="77777777" w:rsidR="006C298A" w:rsidRPr="005A598E" w:rsidRDefault="006C298A" w:rsidP="009C5035">
      <w:pPr>
        <w:pStyle w:val="ManualConsidrant"/>
        <w:rPr>
          <w:noProof/>
        </w:rPr>
      </w:pPr>
      <w:r w:rsidRPr="003347AC">
        <w:rPr>
          <w:noProof/>
        </w:rPr>
        <w:t>(23)</w:t>
      </w:r>
      <w:r w:rsidRPr="003347AC">
        <w:rPr>
          <w:noProof/>
        </w:rPr>
        <w:tab/>
      </w:r>
      <w:r w:rsidRPr="005A598E">
        <w:rPr>
          <w:noProof/>
        </w:rPr>
        <w:t>As regards Switzerland, this Regulation constitutes a development of provisions of the Schengen acquis within the meaning of the Agreement between the European Union, the European Community and the Swiss Confederation on the Swiss Confederation’s association with the implementation, application and development of the Schengen acquis</w:t>
      </w:r>
      <w:r w:rsidRPr="005A598E">
        <w:rPr>
          <w:rStyle w:val="FootnoteReference"/>
          <w:noProof/>
          <w:szCs w:val="24"/>
        </w:rPr>
        <w:footnoteReference w:id="14"/>
      </w:r>
      <w:r w:rsidRPr="005A598E">
        <w:rPr>
          <w:noProof/>
        </w:rPr>
        <w:t xml:space="preserve"> which fall within the area referred to in Article 1, Points A and B of Decision 1999/437/EC read in conjunction with Article 3 of Council Decision 2008/146/EC</w:t>
      </w:r>
      <w:r w:rsidRPr="005A598E">
        <w:rPr>
          <w:rStyle w:val="FootnoteReference"/>
          <w:noProof/>
          <w:szCs w:val="24"/>
        </w:rPr>
        <w:footnoteReference w:id="15"/>
      </w:r>
      <w:r w:rsidRPr="005A598E">
        <w:rPr>
          <w:noProof/>
        </w:rPr>
        <w:t>.</w:t>
      </w:r>
    </w:p>
    <w:p w14:paraId="1197ED97" w14:textId="77777777" w:rsidR="006C298A" w:rsidRPr="005A598E" w:rsidRDefault="006C298A" w:rsidP="009C5035">
      <w:pPr>
        <w:pStyle w:val="ManualConsidrant"/>
        <w:rPr>
          <w:noProof/>
        </w:rPr>
      </w:pPr>
      <w:r w:rsidRPr="003347AC">
        <w:rPr>
          <w:noProof/>
        </w:rPr>
        <w:t>(24)</w:t>
      </w:r>
      <w:r w:rsidRPr="003347AC">
        <w:rPr>
          <w:noProof/>
        </w:rPr>
        <w:tab/>
      </w:r>
      <w:r w:rsidRPr="005A598E">
        <w:rPr>
          <w:noProof/>
        </w:rPr>
        <w:t>As regards Liechtenstein, this Regulation constitutes a development of the provisions of the Schengen acquis within the meaning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w:t>
      </w:r>
      <w:r w:rsidRPr="005A598E">
        <w:rPr>
          <w:noProof/>
        </w:rPr>
        <w:t>hengen acquis</w:t>
      </w:r>
      <w:r w:rsidRPr="005A598E">
        <w:rPr>
          <w:rStyle w:val="FootnoteReference"/>
          <w:noProof/>
          <w:szCs w:val="24"/>
        </w:rPr>
        <w:footnoteReference w:id="16"/>
      </w:r>
      <w:r w:rsidRPr="005A598E">
        <w:rPr>
          <w:noProof/>
        </w:rPr>
        <w:t xml:space="preserve"> which fall within the areas referred to in Article 1, Points A and B of Decision 1999/437/EC read in conjunction with Article 3 of Council Decision 2011/350/EU</w:t>
      </w:r>
      <w:r w:rsidRPr="005A598E">
        <w:rPr>
          <w:rStyle w:val="FootnoteReference"/>
          <w:noProof/>
          <w:szCs w:val="24"/>
        </w:rPr>
        <w:footnoteReference w:id="17"/>
      </w:r>
      <w:r w:rsidRPr="005A598E">
        <w:rPr>
          <w:noProof/>
        </w:rPr>
        <w:t>.</w:t>
      </w:r>
    </w:p>
    <w:p w14:paraId="0C826F6F" w14:textId="77777777" w:rsidR="006C298A" w:rsidRPr="005A598E" w:rsidRDefault="006C298A" w:rsidP="009C5035">
      <w:pPr>
        <w:pStyle w:val="ManualConsidrant"/>
        <w:rPr>
          <w:noProof/>
        </w:rPr>
      </w:pPr>
      <w:r w:rsidRPr="003347AC">
        <w:rPr>
          <w:noProof/>
        </w:rPr>
        <w:t>(25)</w:t>
      </w:r>
      <w:r w:rsidRPr="003347AC">
        <w:rPr>
          <w:noProof/>
        </w:rPr>
        <w:tab/>
      </w:r>
      <w:r w:rsidRPr="005A598E">
        <w:rPr>
          <w:noProof/>
        </w:rPr>
        <w:t>In accordance with Articles 1 and 2 of Protocol No 22 on the position of Denmark, annexed to the TEU and the TFEU, Denmark is not taking part in the adoption of this Regulation and is not bound by it or subject to its application. Given that this Regulation builds upon the Schengen acquis, Denmark should, in accordance with Article 4 of that Protocol, decide within a period of six months after the Council has decided on this Regulation whether it will implement this Regulation in its national law.</w:t>
      </w:r>
    </w:p>
    <w:p w14:paraId="02F9A3EF" w14:textId="77777777" w:rsidR="006C298A" w:rsidRPr="005A598E" w:rsidRDefault="006C298A" w:rsidP="009C5035">
      <w:pPr>
        <w:pStyle w:val="ManualConsidrant"/>
        <w:rPr>
          <w:noProof/>
        </w:rPr>
      </w:pPr>
      <w:r w:rsidRPr="003347AC">
        <w:rPr>
          <w:noProof/>
        </w:rPr>
        <w:lastRenderedPageBreak/>
        <w:t>(26)</w:t>
      </w:r>
      <w:r w:rsidRPr="003347AC">
        <w:rPr>
          <w:noProof/>
        </w:rPr>
        <w:tab/>
      </w:r>
      <w:r w:rsidRPr="005A598E">
        <w:rPr>
          <w:noProof/>
        </w:rPr>
        <w:t>This Regulation constitutes a development of the provisions of the Schengen acquis in which Ireland does not take part, in accordance with Council Decision 2002/192/EC</w:t>
      </w:r>
      <w:r w:rsidRPr="005A598E">
        <w:rPr>
          <w:rStyle w:val="FootnoteReference"/>
          <w:noProof/>
          <w:szCs w:val="24"/>
        </w:rPr>
        <w:footnoteReference w:id="18"/>
      </w:r>
      <w:r w:rsidRPr="005A598E">
        <w:rPr>
          <w:noProof/>
        </w:rPr>
        <w:t>. Ireland is therefore not taking part in the adoption of this Regulation and is not bound by it or subject to its application,</w:t>
      </w:r>
    </w:p>
    <w:p w14:paraId="3E12BA8D" w14:textId="77777777" w:rsidR="006C298A" w:rsidRPr="005A598E" w:rsidRDefault="006C298A" w:rsidP="009C5035">
      <w:pPr>
        <w:pStyle w:val="Formuledadoption"/>
        <w:rPr>
          <w:noProof/>
        </w:rPr>
      </w:pPr>
      <w:r w:rsidRPr="005A598E">
        <w:rPr>
          <w:noProof/>
        </w:rPr>
        <w:t>HAVE ADOPTED THIS REGULATION:</w:t>
      </w:r>
    </w:p>
    <w:p w14:paraId="6F8B8BF0" w14:textId="77777777" w:rsidR="006C298A" w:rsidRPr="005A598E" w:rsidRDefault="006C298A" w:rsidP="009C5035">
      <w:pPr>
        <w:pStyle w:val="Titrearticle"/>
        <w:rPr>
          <w:noProof/>
        </w:rPr>
      </w:pPr>
      <w:r w:rsidRPr="005A598E">
        <w:rPr>
          <w:noProof/>
        </w:rPr>
        <w:t>Article 1</w:t>
      </w:r>
    </w:p>
    <w:p w14:paraId="5784696D" w14:textId="77777777" w:rsidR="006C298A" w:rsidRPr="005A598E" w:rsidRDefault="006C298A" w:rsidP="009C5035">
      <w:pPr>
        <w:pStyle w:val="Titrearticle"/>
        <w:rPr>
          <w:b/>
          <w:bCs/>
          <w:noProof/>
        </w:rPr>
      </w:pPr>
      <w:r w:rsidRPr="005A598E">
        <w:rPr>
          <w:b/>
          <w:bCs/>
          <w:noProof/>
        </w:rPr>
        <w:t>Subject matter</w:t>
      </w:r>
    </w:p>
    <w:p w14:paraId="0DCD6287" w14:textId="77777777" w:rsidR="006C298A" w:rsidRPr="006B3F48" w:rsidRDefault="006C298A" w:rsidP="009C5035">
      <w:pPr>
        <w:rPr>
          <w:noProof/>
          <w:szCs w:val="24"/>
        </w:rPr>
      </w:pPr>
      <w:r w:rsidRPr="005A598E">
        <w:rPr>
          <w:noProof/>
          <w:szCs w:val="24"/>
        </w:rPr>
        <w:t xml:space="preserve">This Regulation lays down the objectives and financing of the Union support for European integrated border management and for European visa policy </w:t>
      </w:r>
      <w:r w:rsidRPr="00BA0959">
        <w:rPr>
          <w:b/>
          <w:bCs/>
          <w:noProof/>
          <w:szCs w:val="24"/>
          <w:u w:val="single"/>
        </w:rPr>
        <w:t>[</w:t>
      </w:r>
      <w:r w:rsidRPr="005A598E">
        <w:rPr>
          <w:noProof/>
          <w:szCs w:val="24"/>
        </w:rPr>
        <w:t>for the period from 1 January 2028 to 31 December 2034</w:t>
      </w:r>
      <w:r w:rsidRPr="00BA0959">
        <w:rPr>
          <w:b/>
          <w:bCs/>
          <w:noProof/>
          <w:szCs w:val="24"/>
          <w:u w:val="single"/>
        </w:rPr>
        <w:t>]</w:t>
      </w:r>
      <w:r w:rsidRPr="005A598E">
        <w:rPr>
          <w:noProof/>
          <w:szCs w:val="24"/>
        </w:rPr>
        <w:t xml:space="preserve">. The Union support shall contribute to the functioning of the Schengen area, to the efficient management of external borders and </w:t>
      </w:r>
      <w:r w:rsidRPr="005A598E">
        <w:rPr>
          <w:noProof/>
        </w:rPr>
        <w:t>to the efficiency of the visa policy,</w:t>
      </w:r>
      <w:r w:rsidRPr="005A598E">
        <w:rPr>
          <w:noProof/>
          <w:szCs w:val="24"/>
        </w:rPr>
        <w:t xml:space="preserve"> including by providing support for</w:t>
      </w:r>
      <w:r w:rsidRPr="005A598E" w:rsidDel="008755E6">
        <w:rPr>
          <w:noProof/>
          <w:szCs w:val="24"/>
        </w:rPr>
        <w:t xml:space="preserve"> </w:t>
      </w:r>
      <w:r w:rsidRPr="005A598E">
        <w:rPr>
          <w:noProof/>
          <w:szCs w:val="24"/>
        </w:rPr>
        <w:t>the implementation, strengthening and development of the relevant elements of the Pact on Migration and Asylum,</w:t>
      </w:r>
      <w:r w:rsidRPr="005A598E">
        <w:rPr>
          <w:noProof/>
        </w:rPr>
        <w:t xml:space="preserve"> and to a high level of internal security within the Union, preserving the absence of any </w:t>
      </w:r>
      <w:r w:rsidRPr="006B3F48">
        <w:rPr>
          <w:noProof/>
        </w:rPr>
        <w:t xml:space="preserve">controls on persons when crossing internal borders. </w:t>
      </w:r>
    </w:p>
    <w:p w14:paraId="1B49860C" w14:textId="77777777" w:rsidR="006C298A" w:rsidRPr="005A598E" w:rsidRDefault="006C298A" w:rsidP="009C5035">
      <w:pPr>
        <w:rPr>
          <w:noProof/>
          <w:szCs w:val="24"/>
        </w:rPr>
      </w:pPr>
      <w:r w:rsidRPr="00BA0959">
        <w:rPr>
          <w:b/>
          <w:bCs/>
          <w:noProof/>
          <w:szCs w:val="24"/>
          <w:u w:val="single"/>
        </w:rPr>
        <w:t>[</w:t>
      </w:r>
      <w:r w:rsidRPr="006B3F48">
        <w:rPr>
          <w:noProof/>
          <w:szCs w:val="24"/>
        </w:rPr>
        <w:t xml:space="preserve">This Union support shall be provided under the horizontal rules of the </w:t>
      </w:r>
      <w:r w:rsidRPr="006B3F48">
        <w:rPr>
          <w:rFonts w:eastAsia="Arial Unicode MS"/>
          <w:noProof/>
          <w:color w:val="000000" w:themeColor="text1"/>
        </w:rPr>
        <w:t>European Fund for economic, social and territorial cohesion, agriculture and rural, fisheries and maritime, prosperity and security</w:t>
      </w:r>
      <w:r w:rsidRPr="006B3F48">
        <w:rPr>
          <w:rFonts w:eastAsia="Arial Unicode MS"/>
          <w:noProof/>
        </w:rPr>
        <w:t xml:space="preserve"> </w:t>
      </w:r>
      <w:r w:rsidRPr="006B3F48">
        <w:rPr>
          <w:noProof/>
          <w:szCs w:val="24"/>
        </w:rPr>
        <w:t>established by Regulation (EU) […].</w:t>
      </w:r>
      <w:r w:rsidRPr="00BA0959">
        <w:rPr>
          <w:b/>
          <w:bCs/>
          <w:noProof/>
          <w:szCs w:val="24"/>
          <w:u w:val="single"/>
        </w:rPr>
        <w:t>]</w:t>
      </w:r>
    </w:p>
    <w:p w14:paraId="6EA84C41" w14:textId="77777777" w:rsidR="006C298A" w:rsidRPr="005A598E" w:rsidRDefault="006C298A" w:rsidP="009C5035">
      <w:pPr>
        <w:pStyle w:val="Titrearticle"/>
        <w:rPr>
          <w:noProof/>
        </w:rPr>
      </w:pPr>
      <w:r w:rsidRPr="005A598E">
        <w:rPr>
          <w:noProof/>
        </w:rPr>
        <w:t>Article 2</w:t>
      </w:r>
    </w:p>
    <w:p w14:paraId="498247E8" w14:textId="77777777" w:rsidR="006C298A" w:rsidRPr="005A598E" w:rsidRDefault="006C298A" w:rsidP="009C5035">
      <w:pPr>
        <w:pStyle w:val="Titrearticle"/>
        <w:rPr>
          <w:b/>
          <w:bCs/>
          <w:noProof/>
        </w:rPr>
      </w:pPr>
      <w:r w:rsidRPr="005A598E">
        <w:rPr>
          <w:b/>
          <w:bCs/>
          <w:noProof/>
        </w:rPr>
        <w:t>Definitions</w:t>
      </w:r>
    </w:p>
    <w:p w14:paraId="260D7782" w14:textId="77777777" w:rsidR="006C298A" w:rsidRPr="005A598E" w:rsidRDefault="006C298A" w:rsidP="009C5035">
      <w:pPr>
        <w:rPr>
          <w:noProof/>
          <w:color w:val="000000"/>
          <w:szCs w:val="24"/>
        </w:rPr>
      </w:pPr>
      <w:r w:rsidRPr="005A598E">
        <w:rPr>
          <w:noProof/>
          <w:color w:val="000000"/>
          <w:szCs w:val="24"/>
        </w:rPr>
        <w:t>For the purposes of this Regulation, the following definitions apply:</w:t>
      </w:r>
    </w:p>
    <w:p w14:paraId="6DAE831A" w14:textId="77777777" w:rsidR="006C298A" w:rsidRPr="005A598E" w:rsidRDefault="006C298A" w:rsidP="009C5035">
      <w:pPr>
        <w:pStyle w:val="Point0"/>
        <w:rPr>
          <w:noProof/>
        </w:rPr>
      </w:pPr>
      <w:r w:rsidRPr="003347AC">
        <w:rPr>
          <w:noProof/>
        </w:rPr>
        <w:t>(1)</w:t>
      </w:r>
      <w:r w:rsidRPr="003347AC">
        <w:rPr>
          <w:noProof/>
        </w:rPr>
        <w:tab/>
      </w:r>
      <w:r w:rsidRPr="005A598E">
        <w:rPr>
          <w:noProof/>
        </w:rPr>
        <w:t>‘border crossing point’ means border crossing point as defined in Article 2, point (8) of Regulation (EU) 2016/399</w:t>
      </w:r>
      <w:r w:rsidRPr="005A598E">
        <w:rPr>
          <w:rStyle w:val="FootnoteReference"/>
          <w:noProof/>
          <w:szCs w:val="24"/>
        </w:rPr>
        <w:footnoteReference w:id="19"/>
      </w:r>
      <w:r w:rsidRPr="005A598E">
        <w:rPr>
          <w:noProof/>
        </w:rPr>
        <w:t>;</w:t>
      </w:r>
    </w:p>
    <w:p w14:paraId="5AE86438" w14:textId="77777777" w:rsidR="006C298A" w:rsidRPr="005A598E" w:rsidRDefault="006C298A" w:rsidP="009C5035">
      <w:pPr>
        <w:pStyle w:val="Point0"/>
        <w:rPr>
          <w:noProof/>
        </w:rPr>
      </w:pPr>
      <w:r w:rsidRPr="003347AC">
        <w:rPr>
          <w:noProof/>
        </w:rPr>
        <w:lastRenderedPageBreak/>
        <w:t>(2)</w:t>
      </w:r>
      <w:r w:rsidRPr="003347AC">
        <w:rPr>
          <w:noProof/>
        </w:rPr>
        <w:tab/>
      </w:r>
      <w:r w:rsidRPr="005A598E">
        <w:rPr>
          <w:noProof/>
        </w:rPr>
        <w:t>‘European integrated border management’ means European integrated border management as referred to in Article 3 of Regulation (EU) 2019/1896</w:t>
      </w:r>
      <w:r w:rsidRPr="005A598E">
        <w:rPr>
          <w:rStyle w:val="FootnoteReference"/>
          <w:noProof/>
          <w:szCs w:val="24"/>
        </w:rPr>
        <w:footnoteReference w:id="20"/>
      </w:r>
      <w:r w:rsidRPr="005A598E">
        <w:rPr>
          <w:noProof/>
        </w:rPr>
        <w:t>;</w:t>
      </w:r>
    </w:p>
    <w:p w14:paraId="2059A837" w14:textId="77777777" w:rsidR="006C298A" w:rsidRPr="005A598E" w:rsidRDefault="006C298A" w:rsidP="009C5035">
      <w:pPr>
        <w:pStyle w:val="Point0"/>
        <w:rPr>
          <w:noProof/>
        </w:rPr>
      </w:pPr>
      <w:r w:rsidRPr="003347AC">
        <w:rPr>
          <w:noProof/>
        </w:rPr>
        <w:t>(3)</w:t>
      </w:r>
      <w:r w:rsidRPr="003347AC">
        <w:rPr>
          <w:noProof/>
        </w:rPr>
        <w:tab/>
      </w:r>
      <w:r w:rsidRPr="005A598E">
        <w:rPr>
          <w:noProof/>
        </w:rPr>
        <w:t>‘external borders’ means external borders as defined in Article 2, point 2 of Regulation (EU) 2016/399</w:t>
      </w:r>
      <w:r w:rsidRPr="005A598E">
        <w:rPr>
          <w:rStyle w:val="FootnoteReference"/>
          <w:noProof/>
          <w:szCs w:val="24"/>
        </w:rPr>
        <w:footnoteReference w:id="21"/>
      </w:r>
      <w:r w:rsidRPr="005A598E">
        <w:rPr>
          <w:noProof/>
        </w:rPr>
        <w:t xml:space="preserve"> and internal borders at which controls have not yet been lifted;</w:t>
      </w:r>
    </w:p>
    <w:p w14:paraId="2A9700BA" w14:textId="77777777" w:rsidR="006C298A" w:rsidRPr="005A598E" w:rsidRDefault="006C298A" w:rsidP="009C5035">
      <w:pPr>
        <w:pStyle w:val="Point0"/>
        <w:rPr>
          <w:noProof/>
        </w:rPr>
      </w:pPr>
      <w:r w:rsidRPr="003347AC">
        <w:rPr>
          <w:noProof/>
        </w:rPr>
        <w:t>(4)</w:t>
      </w:r>
      <w:r w:rsidRPr="003347AC">
        <w:rPr>
          <w:noProof/>
        </w:rPr>
        <w:tab/>
      </w:r>
      <w:r w:rsidRPr="005A598E">
        <w:rPr>
          <w:noProof/>
        </w:rPr>
        <w:t>‘external border section’ means external border section as defined in Article 2, point (11) of Regulation (EU) 2019/1896</w:t>
      </w:r>
      <w:r w:rsidRPr="005A598E">
        <w:rPr>
          <w:rStyle w:val="FootnoteReference"/>
          <w:noProof/>
          <w:szCs w:val="24"/>
        </w:rPr>
        <w:footnoteReference w:id="22"/>
      </w:r>
      <w:r w:rsidRPr="005A598E">
        <w:rPr>
          <w:noProof/>
        </w:rPr>
        <w:t>;</w:t>
      </w:r>
    </w:p>
    <w:p w14:paraId="7E03A2A1" w14:textId="77777777" w:rsidR="006C298A" w:rsidRPr="005A598E" w:rsidRDefault="006C298A" w:rsidP="009C5035">
      <w:pPr>
        <w:pStyle w:val="Point0"/>
        <w:rPr>
          <w:noProof/>
        </w:rPr>
      </w:pPr>
      <w:r w:rsidRPr="003347AC">
        <w:rPr>
          <w:noProof/>
        </w:rPr>
        <w:t>(5)</w:t>
      </w:r>
      <w:r w:rsidRPr="003347AC">
        <w:rPr>
          <w:noProof/>
        </w:rPr>
        <w:tab/>
      </w:r>
      <w:r w:rsidRPr="005A598E">
        <w:rPr>
          <w:noProof/>
        </w:rPr>
        <w:t>‘internal borders at which controls have not yet been lifted’ means:</w:t>
      </w:r>
    </w:p>
    <w:p w14:paraId="6C82EA21" w14:textId="77777777" w:rsidR="006C298A" w:rsidRPr="005A598E" w:rsidRDefault="006C298A" w:rsidP="009C5035">
      <w:pPr>
        <w:pStyle w:val="Point1"/>
        <w:rPr>
          <w:noProof/>
        </w:rPr>
      </w:pPr>
      <w:r w:rsidRPr="003347AC">
        <w:rPr>
          <w:noProof/>
        </w:rPr>
        <w:t>(a)</w:t>
      </w:r>
      <w:r w:rsidRPr="003347AC">
        <w:rPr>
          <w:noProof/>
        </w:rPr>
        <w:tab/>
      </w:r>
      <w:r w:rsidRPr="005A598E">
        <w:rPr>
          <w:noProof/>
        </w:rPr>
        <w:t>the common border between a Member State fully implementing the Schengen acquis and a Member State bound to apply the Schengen acquis in full, in conformity with its Act of Accession, but for which the relevant Council Decision authorising it to fully apply that acquis has not yet entered into force;</w:t>
      </w:r>
    </w:p>
    <w:p w14:paraId="755CE6B3" w14:textId="77777777" w:rsidR="006C298A" w:rsidRPr="005A598E" w:rsidRDefault="006C298A" w:rsidP="009C5035">
      <w:pPr>
        <w:pStyle w:val="Point1"/>
        <w:rPr>
          <w:noProof/>
        </w:rPr>
      </w:pPr>
      <w:r w:rsidRPr="003347AC">
        <w:rPr>
          <w:noProof/>
        </w:rPr>
        <w:t>(b)</w:t>
      </w:r>
      <w:r w:rsidRPr="003347AC">
        <w:rPr>
          <w:noProof/>
        </w:rPr>
        <w:tab/>
      </w:r>
      <w:r w:rsidRPr="005A598E">
        <w:rPr>
          <w:noProof/>
        </w:rPr>
        <w:t>the common border between two Member States bound to apply the Schengen acquis in full, in conformity with their respective Acts of Accession, but for which the relevant Council Decision authorising them to fully apply that acquis has not yet entered into force.</w:t>
      </w:r>
    </w:p>
    <w:p w14:paraId="080B64D4" w14:textId="77777777" w:rsidR="006C298A" w:rsidRDefault="006C298A" w:rsidP="009C5035">
      <w:pPr>
        <w:pStyle w:val="Point0"/>
        <w:rPr>
          <w:noProof/>
        </w:rPr>
      </w:pPr>
      <w:r w:rsidRPr="003347AC">
        <w:rPr>
          <w:noProof/>
        </w:rPr>
        <w:t>(6)</w:t>
      </w:r>
      <w:r w:rsidRPr="003347AC">
        <w:rPr>
          <w:noProof/>
        </w:rPr>
        <w:tab/>
      </w:r>
      <w:r w:rsidRPr="005A598E">
        <w:rPr>
          <w:noProof/>
        </w:rPr>
        <w:t>‘benefitting Member State’ means a benefitting Member State as defined in Article 2, point (19) of Regulation (EU) 2024/1351;</w:t>
      </w:r>
    </w:p>
    <w:p w14:paraId="3827DFF9" w14:textId="77777777" w:rsidR="006C298A" w:rsidRPr="00990C77" w:rsidRDefault="006C298A" w:rsidP="009C5035">
      <w:pPr>
        <w:pStyle w:val="Point0"/>
        <w:rPr>
          <w:noProof/>
        </w:rPr>
      </w:pPr>
      <w:r w:rsidRPr="003347AC">
        <w:rPr>
          <w:noProof/>
        </w:rPr>
        <w:t>(7)</w:t>
      </w:r>
      <w:r w:rsidRPr="003347AC">
        <w:rPr>
          <w:noProof/>
        </w:rPr>
        <w:tab/>
      </w:r>
      <w:r>
        <w:rPr>
          <w:noProof/>
        </w:rPr>
        <w:t>‘contributing Member State’ means a contributing Member State as defined in Article 2</w:t>
      </w:r>
      <w:r w:rsidRPr="00990C77">
        <w:rPr>
          <w:noProof/>
        </w:rPr>
        <w:t>, point (20) of Regulation (EU) 2024/1351;</w:t>
      </w:r>
    </w:p>
    <w:p w14:paraId="6CC82DD1" w14:textId="77777777" w:rsidR="006C298A" w:rsidRPr="00990C77" w:rsidRDefault="006C298A" w:rsidP="009C5035">
      <w:pPr>
        <w:pStyle w:val="Point0"/>
        <w:rPr>
          <w:noProof/>
        </w:rPr>
      </w:pPr>
      <w:r w:rsidRPr="003347AC">
        <w:rPr>
          <w:noProof/>
        </w:rPr>
        <w:t>(8)</w:t>
      </w:r>
      <w:r w:rsidRPr="003347AC">
        <w:rPr>
          <w:noProof/>
        </w:rPr>
        <w:tab/>
      </w:r>
      <w:r w:rsidRPr="00990C77">
        <w:rPr>
          <w:noProof/>
        </w:rPr>
        <w:t xml:space="preserve">‘financial contributions’ means financial contributions in accordance with Article 56(2), point (b) of Regulation (EU) 2024/1351. </w:t>
      </w:r>
    </w:p>
    <w:p w14:paraId="5692AD60" w14:textId="77777777" w:rsidR="006C298A" w:rsidRPr="005A598E" w:rsidRDefault="006C298A" w:rsidP="009C5035">
      <w:pPr>
        <w:pStyle w:val="Titrearticle"/>
        <w:rPr>
          <w:noProof/>
        </w:rPr>
      </w:pPr>
      <w:r w:rsidRPr="005A598E">
        <w:rPr>
          <w:noProof/>
        </w:rPr>
        <w:t>Article 3</w:t>
      </w:r>
    </w:p>
    <w:p w14:paraId="54121EDB" w14:textId="77777777" w:rsidR="006C298A" w:rsidRPr="005A598E" w:rsidRDefault="006C298A" w:rsidP="009C5035">
      <w:pPr>
        <w:pStyle w:val="Titrearticle"/>
        <w:rPr>
          <w:b/>
          <w:bCs/>
          <w:noProof/>
        </w:rPr>
      </w:pPr>
      <w:bookmarkStart w:id="7" w:name="_Hlk202174420"/>
      <w:r w:rsidRPr="005A598E">
        <w:rPr>
          <w:b/>
          <w:bCs/>
          <w:noProof/>
        </w:rPr>
        <w:t xml:space="preserve">Objectives for the Union support </w:t>
      </w:r>
      <w:r w:rsidRPr="002509F8">
        <w:rPr>
          <w:b/>
          <w:bCs/>
          <w:noProof/>
        </w:rPr>
        <w:t>for the Schengen area, for European integrated border management at the external borders and for the common policy on visas</w:t>
      </w:r>
    </w:p>
    <w:bookmarkEnd w:id="7"/>
    <w:p w14:paraId="56368F60" w14:textId="77777777" w:rsidR="006C298A" w:rsidRPr="00166A0C" w:rsidRDefault="006C298A" w:rsidP="009C5035">
      <w:pPr>
        <w:pStyle w:val="ManualNumPar1"/>
        <w:rPr>
          <w:noProof/>
        </w:rPr>
      </w:pPr>
      <w:r w:rsidRPr="003347AC">
        <w:rPr>
          <w:noProof/>
        </w:rPr>
        <w:t>1.</w:t>
      </w:r>
      <w:r w:rsidRPr="003347AC">
        <w:rPr>
          <w:noProof/>
        </w:rPr>
        <w:tab/>
      </w:r>
      <w:r w:rsidRPr="005A598E">
        <w:rPr>
          <w:noProof/>
        </w:rPr>
        <w:t xml:space="preserve">To ensure strong and effective European integrated border management at the external borders, a well-functioning Schengen area and an efficient visa policy, the Union support shall contribute </w:t>
      </w:r>
      <w:r w:rsidRPr="00166A0C">
        <w:rPr>
          <w:noProof/>
        </w:rPr>
        <w:t>to each of the following objectives:</w:t>
      </w:r>
    </w:p>
    <w:p w14:paraId="06272B39" w14:textId="77777777" w:rsidR="006C298A" w:rsidRPr="00166A0C" w:rsidRDefault="006C298A" w:rsidP="009C5035">
      <w:pPr>
        <w:pStyle w:val="Point1"/>
        <w:rPr>
          <w:rFonts w:eastAsiaTheme="minorEastAsia" w:cstheme="majorHAnsi"/>
          <w:noProof/>
          <w:szCs w:val="20"/>
          <w:lang w:val="en-IE" w:eastAsia="en-IE"/>
        </w:rPr>
      </w:pPr>
      <w:r w:rsidRPr="003347AC">
        <w:rPr>
          <w:noProof/>
        </w:rPr>
        <w:lastRenderedPageBreak/>
        <w:t>(a)</w:t>
      </w:r>
      <w:r w:rsidRPr="003347AC">
        <w:rPr>
          <w:noProof/>
        </w:rPr>
        <w:tab/>
      </w:r>
      <w:r w:rsidRPr="00166A0C">
        <w:rPr>
          <w:noProof/>
        </w:rPr>
        <w:t>supporting the effective implementation, application and development of the Schengen framework and strengthening the governance, integrity and security of the Schengen area without internal borders;</w:t>
      </w:r>
    </w:p>
    <w:p w14:paraId="27B1D8EA" w14:textId="77777777" w:rsidR="006C298A" w:rsidRPr="00257EC0" w:rsidRDefault="006C298A" w:rsidP="009C5035">
      <w:pPr>
        <w:pStyle w:val="Point1"/>
        <w:rPr>
          <w:rStyle w:val="Instructions"/>
          <w:rFonts w:eastAsiaTheme="minorEastAsia"/>
          <w:i w:val="0"/>
          <w:iCs w:val="0"/>
          <w:noProof/>
        </w:rPr>
      </w:pPr>
      <w:r w:rsidRPr="003347AC">
        <w:rPr>
          <w:rStyle w:val="Instructions"/>
          <w:rFonts w:eastAsiaTheme="minorHAnsi"/>
          <w:noProof/>
        </w:rPr>
        <w:t>(b)</w:t>
      </w:r>
      <w:r w:rsidRPr="003347AC">
        <w:rPr>
          <w:rStyle w:val="Instructions"/>
          <w:rFonts w:eastAsiaTheme="minorHAnsi"/>
          <w:noProof/>
        </w:rPr>
        <w:tab/>
      </w:r>
      <w:r w:rsidRPr="00257EC0">
        <w:rPr>
          <w:noProof/>
        </w:rPr>
        <w:t>supporting effective European integrated border management at the external borders, implemented by the European Border and Coast Guard as a shared responsibility of the European Border and Coast Guard Agency and the national authorities responsible for border management, including through innovative methods and new technologies, to facilitate legitimate border crossings, to prevent and detect illegal immigration, cross-border crime, and instrumentalisation and weaponisation of irregular migration, to contr</w:t>
      </w:r>
      <w:r w:rsidRPr="00257EC0">
        <w:rPr>
          <w:noProof/>
        </w:rPr>
        <w:t>ibute to effective return;</w:t>
      </w:r>
    </w:p>
    <w:p w14:paraId="6CDB4D1D" w14:textId="77777777" w:rsidR="006C298A" w:rsidRPr="005A598E" w:rsidRDefault="006C298A" w:rsidP="009C5035">
      <w:pPr>
        <w:pStyle w:val="Point1"/>
        <w:rPr>
          <w:rFonts w:eastAsiaTheme="minorEastAsia" w:cstheme="majorHAnsi"/>
          <w:noProof/>
          <w:szCs w:val="20"/>
          <w:lang w:val="en-IE" w:eastAsia="en-IE"/>
        </w:rPr>
      </w:pPr>
      <w:r w:rsidRPr="003347AC">
        <w:rPr>
          <w:noProof/>
        </w:rPr>
        <w:t>(c)</w:t>
      </w:r>
      <w:r w:rsidRPr="003347AC">
        <w:rPr>
          <w:noProof/>
        </w:rPr>
        <w:tab/>
      </w:r>
      <w:r w:rsidRPr="005A598E">
        <w:rPr>
          <w:noProof/>
        </w:rPr>
        <w:t>supporting the common visa policy to ensure a harmonised approach with regard to the timely issuance of visas and to facilitate legitimate travel, while preventing migratory and security risks and contributing to the security and a well-functioning of the Schengen area.</w:t>
      </w:r>
    </w:p>
    <w:p w14:paraId="342A5602" w14:textId="77777777" w:rsidR="006C298A" w:rsidRPr="006B3F48" w:rsidRDefault="006C298A" w:rsidP="009C5035">
      <w:pPr>
        <w:ind w:left="720"/>
        <w:rPr>
          <w:noProof/>
          <w:szCs w:val="24"/>
        </w:rPr>
      </w:pPr>
      <w:bookmarkStart w:id="8" w:name="_Hlk201962005"/>
      <w:r w:rsidRPr="006B3F48">
        <w:rPr>
          <w:noProof/>
          <w:szCs w:val="24"/>
        </w:rPr>
        <w:t xml:space="preserve">The Union support shall be </w:t>
      </w:r>
      <w:bookmarkEnd w:id="8"/>
      <w:r w:rsidRPr="006B3F48">
        <w:rPr>
          <w:noProof/>
          <w:szCs w:val="24"/>
        </w:rPr>
        <w:t xml:space="preserve">implemented in a manner fully consistent with the </w:t>
      </w:r>
      <w:r w:rsidRPr="006B3F48">
        <w:rPr>
          <w:noProof/>
        </w:rPr>
        <w:t>objectives</w:t>
      </w:r>
      <w:r w:rsidRPr="006B3F48">
        <w:rPr>
          <w:noProof/>
          <w:szCs w:val="24"/>
        </w:rPr>
        <w:t xml:space="preserve"> set out in Regulation (EU) […] </w:t>
      </w:r>
      <w:r w:rsidRPr="006B3F48">
        <w:rPr>
          <w:rFonts w:eastAsia="Arial Unicode MS"/>
          <w:noProof/>
          <w:color w:val="000000" w:themeColor="text1"/>
        </w:rPr>
        <w:t>establishing the European Fund for economic, social and territorial cohesion, agriculture and rural, fisheries and maritime, prosperity and security</w:t>
      </w:r>
      <w:r w:rsidRPr="006B3F48">
        <w:rPr>
          <w:noProof/>
          <w:szCs w:val="24"/>
        </w:rPr>
        <w:t>.</w:t>
      </w:r>
    </w:p>
    <w:p w14:paraId="573269F6" w14:textId="77777777" w:rsidR="006C298A" w:rsidRPr="005A598E" w:rsidRDefault="006C298A" w:rsidP="009C5035">
      <w:pPr>
        <w:pStyle w:val="ManualNumPar1"/>
        <w:rPr>
          <w:noProof/>
          <w:szCs w:val="24"/>
        </w:rPr>
      </w:pPr>
      <w:r w:rsidRPr="003347AC">
        <w:rPr>
          <w:noProof/>
        </w:rPr>
        <w:t>2.</w:t>
      </w:r>
      <w:r w:rsidRPr="003347AC">
        <w:rPr>
          <w:noProof/>
        </w:rPr>
        <w:tab/>
      </w:r>
      <w:r w:rsidRPr="006B3F48">
        <w:rPr>
          <w:noProof/>
        </w:rPr>
        <w:t>The Union support shall be implemented in accordance with</w:t>
      </w:r>
      <w:r w:rsidRPr="005A598E">
        <w:rPr>
          <w:noProof/>
        </w:rPr>
        <w:t xml:space="preserve"> the relevant Union acquis and the international obligations of the Union and the Member States arising from the international instruments to which they are party.</w:t>
      </w:r>
    </w:p>
    <w:p w14:paraId="4417D709" w14:textId="77777777" w:rsidR="006C298A" w:rsidRPr="005A598E" w:rsidRDefault="006C298A" w:rsidP="009C5035">
      <w:pPr>
        <w:pStyle w:val="ManualNumPar1"/>
        <w:rPr>
          <w:noProof/>
          <w:szCs w:val="24"/>
        </w:rPr>
      </w:pPr>
      <w:r w:rsidRPr="003347AC">
        <w:rPr>
          <w:noProof/>
        </w:rPr>
        <w:t>3.</w:t>
      </w:r>
      <w:r w:rsidRPr="003347AC">
        <w:rPr>
          <w:noProof/>
        </w:rPr>
        <w:tab/>
      </w:r>
      <w:r w:rsidRPr="005A598E">
        <w:rPr>
          <w:noProof/>
        </w:rPr>
        <w:t>The Member States shall ensure that the priorities of their National and Regional Partnership Plans include actions to achieve each of the objectives of the Union support under this Regulation, and, that the allocation of resources between objectives is proportionate to the identified challenges and needs.</w:t>
      </w:r>
    </w:p>
    <w:p w14:paraId="61A157D9" w14:textId="77777777" w:rsidR="006C298A" w:rsidRPr="005A598E" w:rsidRDefault="006C298A" w:rsidP="009C5035">
      <w:pPr>
        <w:pStyle w:val="Titrearticle"/>
        <w:rPr>
          <w:noProof/>
        </w:rPr>
      </w:pPr>
      <w:r w:rsidRPr="005A598E">
        <w:rPr>
          <w:noProof/>
        </w:rPr>
        <w:t>Article 4</w:t>
      </w:r>
    </w:p>
    <w:p w14:paraId="05B40909" w14:textId="77777777" w:rsidR="006C298A" w:rsidRPr="005A598E" w:rsidRDefault="006C298A" w:rsidP="009C5035">
      <w:pPr>
        <w:pStyle w:val="Titrearticle"/>
        <w:rPr>
          <w:b/>
          <w:bCs/>
          <w:noProof/>
        </w:rPr>
      </w:pPr>
      <w:r w:rsidRPr="005A598E">
        <w:rPr>
          <w:b/>
          <w:bCs/>
          <w:noProof/>
        </w:rPr>
        <w:t>Financing</w:t>
      </w:r>
    </w:p>
    <w:p w14:paraId="66CB52A4" w14:textId="77777777" w:rsidR="006C298A" w:rsidRPr="006B3F48" w:rsidRDefault="006C298A" w:rsidP="009C5035">
      <w:pPr>
        <w:pStyle w:val="ManualNumPar1"/>
        <w:rPr>
          <w:noProof/>
        </w:rPr>
      </w:pPr>
      <w:r w:rsidRPr="003347AC">
        <w:rPr>
          <w:noProof/>
        </w:rPr>
        <w:t>1.</w:t>
      </w:r>
      <w:r w:rsidRPr="003347AC">
        <w:rPr>
          <w:noProof/>
        </w:rPr>
        <w:tab/>
      </w:r>
      <w:r w:rsidRPr="00BA0959">
        <w:rPr>
          <w:b/>
          <w:bCs/>
          <w:noProof/>
          <w:u w:val="single"/>
        </w:rPr>
        <w:t>[</w:t>
      </w:r>
      <w:r w:rsidRPr="00FE226F">
        <w:rPr>
          <w:noProof/>
        </w:rPr>
        <w:t xml:space="preserve">The indicative financial envelope for the implementation of the objectives set out in Article 3 for the period </w:t>
      </w:r>
      <w:r>
        <w:rPr>
          <w:noProof/>
        </w:rPr>
        <w:t xml:space="preserve">from 2028 to 2034 </w:t>
      </w:r>
      <w:r w:rsidRPr="00FE226F">
        <w:rPr>
          <w:noProof/>
        </w:rPr>
        <w:t xml:space="preserve">is set </w:t>
      </w:r>
      <w:r w:rsidRPr="0063135D">
        <w:rPr>
          <w:noProof/>
        </w:rPr>
        <w:t>at EUR</w:t>
      </w:r>
      <w:r>
        <w:rPr>
          <w:noProof/>
        </w:rPr>
        <w:t> </w:t>
      </w:r>
      <w:r w:rsidRPr="0063135D">
        <w:rPr>
          <w:noProof/>
        </w:rPr>
        <w:t>15</w:t>
      </w:r>
      <w:r>
        <w:rPr>
          <w:noProof/>
        </w:rPr>
        <w:t> </w:t>
      </w:r>
      <w:r w:rsidRPr="0063135D">
        <w:rPr>
          <w:noProof/>
        </w:rPr>
        <w:t>396</w:t>
      </w:r>
      <w:r>
        <w:rPr>
          <w:noProof/>
        </w:rPr>
        <w:t> </w:t>
      </w:r>
      <w:r w:rsidRPr="0063135D">
        <w:rPr>
          <w:noProof/>
        </w:rPr>
        <w:t>750</w:t>
      </w:r>
      <w:r>
        <w:rPr>
          <w:noProof/>
        </w:rPr>
        <w:t> </w:t>
      </w:r>
      <w:r w:rsidRPr="0063135D">
        <w:rPr>
          <w:noProof/>
        </w:rPr>
        <w:t>000</w:t>
      </w:r>
      <w:r w:rsidRPr="00FE226F">
        <w:rPr>
          <w:noProof/>
        </w:rPr>
        <w:t xml:space="preserve"> in current prices. It shall be </w:t>
      </w:r>
      <w:r w:rsidRPr="002263FC">
        <w:rPr>
          <w:rFonts w:asciiTheme="majorBidi" w:hAnsiTheme="majorBidi" w:cstheme="majorBidi"/>
          <w:noProof/>
        </w:rPr>
        <w:t xml:space="preserve">implemented in compliance with the horizontal rules for </w:t>
      </w:r>
      <w:r w:rsidRPr="00FE226F">
        <w:rPr>
          <w:noProof/>
        </w:rPr>
        <w:t xml:space="preserve">the National and Regional Partnership Plans </w:t>
      </w:r>
      <w:r>
        <w:rPr>
          <w:noProof/>
        </w:rPr>
        <w:t xml:space="preserve">laid down </w:t>
      </w:r>
      <w:r w:rsidRPr="006B3F48">
        <w:rPr>
          <w:noProof/>
        </w:rPr>
        <w:t xml:space="preserve">in Regulation (EU) […] </w:t>
      </w:r>
      <w:r w:rsidRPr="006B3F48">
        <w:rPr>
          <w:rFonts w:eastAsia="Arial Unicode MS"/>
          <w:noProof/>
          <w:color w:val="000000" w:themeColor="text1"/>
        </w:rPr>
        <w:t>establishing the European Fund for economic, social and territorial cohesion, agriculture and rural, fisheries and maritime, prosperity and security</w:t>
      </w:r>
      <w:r w:rsidRPr="006B3F48">
        <w:rPr>
          <w:noProof/>
        </w:rPr>
        <w:t>.</w:t>
      </w:r>
      <w:r w:rsidRPr="00BA0959">
        <w:rPr>
          <w:b/>
          <w:bCs/>
          <w:noProof/>
          <w:u w:val="single"/>
        </w:rPr>
        <w:t xml:space="preserve">] </w:t>
      </w:r>
    </w:p>
    <w:p w14:paraId="212E5C82" w14:textId="77777777" w:rsidR="006C298A" w:rsidRPr="006B3F48" w:rsidRDefault="006C298A" w:rsidP="009C5035">
      <w:pPr>
        <w:pStyle w:val="ManualNumPar1"/>
        <w:rPr>
          <w:noProof/>
        </w:rPr>
      </w:pPr>
      <w:r w:rsidRPr="003347AC">
        <w:rPr>
          <w:noProof/>
        </w:rPr>
        <w:t>2.</w:t>
      </w:r>
      <w:r w:rsidRPr="003347AC">
        <w:rPr>
          <w:noProof/>
        </w:rPr>
        <w:tab/>
      </w:r>
      <w:r w:rsidRPr="006B3F48">
        <w:rPr>
          <w:noProof/>
        </w:rPr>
        <w:t xml:space="preserve">The Commission shall adopt an implementing act to establish the amount per Member State by applying the allocation methodology set out in Section B, Annex I of Regulation (EU) […] </w:t>
      </w:r>
      <w:r w:rsidRPr="006B3F48">
        <w:rPr>
          <w:rFonts w:eastAsia="Arial Unicode MS"/>
          <w:noProof/>
          <w:color w:val="000000" w:themeColor="text1"/>
        </w:rPr>
        <w:t>establishing the European Fund for economic, social and territorial cohesion, agriculture and rural, fisheries and maritime, prosperity and security</w:t>
      </w:r>
      <w:r w:rsidRPr="006B3F48">
        <w:rPr>
          <w:noProof/>
        </w:rPr>
        <w:t>.</w:t>
      </w:r>
    </w:p>
    <w:p w14:paraId="0A9FB588" w14:textId="77777777" w:rsidR="006C298A" w:rsidRPr="006B3F48" w:rsidRDefault="006C298A" w:rsidP="009C5035">
      <w:pPr>
        <w:pStyle w:val="ManualNumPar1"/>
        <w:rPr>
          <w:noProof/>
        </w:rPr>
      </w:pPr>
      <w:r w:rsidRPr="003347AC">
        <w:rPr>
          <w:noProof/>
        </w:rPr>
        <w:t>3.</w:t>
      </w:r>
      <w:r w:rsidRPr="003347AC">
        <w:rPr>
          <w:noProof/>
        </w:rPr>
        <w:tab/>
      </w:r>
      <w:r w:rsidRPr="006B3F48">
        <w:rPr>
          <w:noProof/>
        </w:rPr>
        <w:t xml:space="preserve">In addition, the budgetary appropriations for the objectives set out in Article 3 of this Regulation, implemented through the EU Facility under Title IV of Regulation (EU) […] </w:t>
      </w:r>
      <w:r w:rsidRPr="006B3F48">
        <w:rPr>
          <w:rFonts w:eastAsia="Arial Unicode MS"/>
          <w:noProof/>
          <w:color w:val="000000" w:themeColor="text1"/>
        </w:rPr>
        <w:lastRenderedPageBreak/>
        <w:t>establishing the European Fund for economic, social and territorial cohesion, agriculture and rural, fisheries and maritime, prosperity and security</w:t>
      </w:r>
      <w:r w:rsidRPr="006B3F48">
        <w:rPr>
          <w:noProof/>
        </w:rPr>
        <w:t>, shall be established in the framework of the annual budgetary procedure provided for in Article 314 TFEU.</w:t>
      </w:r>
    </w:p>
    <w:p w14:paraId="2C03CEC4" w14:textId="77777777" w:rsidR="006C298A" w:rsidRPr="006B3F48" w:rsidRDefault="006C298A" w:rsidP="009C5035">
      <w:pPr>
        <w:pStyle w:val="ManualNumPar1"/>
        <w:rPr>
          <w:noProof/>
        </w:rPr>
      </w:pPr>
      <w:r w:rsidRPr="003347AC">
        <w:rPr>
          <w:noProof/>
        </w:rPr>
        <w:t>4.</w:t>
      </w:r>
      <w:r w:rsidRPr="003347AC">
        <w:rPr>
          <w:noProof/>
        </w:rPr>
        <w:tab/>
      </w:r>
      <w:r w:rsidRPr="006B3F48">
        <w:rPr>
          <w:rFonts w:asciiTheme="majorBidi" w:eastAsia="Times New Roman" w:hAnsiTheme="majorBidi" w:cstheme="majorBidi"/>
          <w:noProof/>
        </w:rPr>
        <w:t xml:space="preserve">For  measures that relate to the objectives set out in Article 3 of this Regulation, </w:t>
      </w:r>
      <w:r w:rsidRPr="006B3F48">
        <w:rPr>
          <w:noProof/>
        </w:rPr>
        <w:t xml:space="preserve">where the Commission concludes that those measures comply with the requirements laid down in this Regulation and Regulation (EU) […] </w:t>
      </w:r>
      <w:r w:rsidRPr="006B3F48">
        <w:rPr>
          <w:rFonts w:eastAsia="Arial Unicode MS"/>
          <w:noProof/>
          <w:color w:val="000000" w:themeColor="text1"/>
        </w:rPr>
        <w:t>establishing the European Fund for economic, social and territorial cohesion, agriculture and rural, fisheries and maritime, prosperity and security</w:t>
      </w:r>
      <w:r w:rsidRPr="006B3F48">
        <w:rPr>
          <w:noProof/>
        </w:rPr>
        <w:t xml:space="preserve">, and where the Commission proposes a Council implementing decision approving the National and Regional Partnership Plan of the concerned Member State in accordance with the procedure set out in Article 23 of Regulation (EU) […] </w:t>
      </w:r>
      <w:r w:rsidRPr="006B3F48">
        <w:rPr>
          <w:rFonts w:eastAsia="Arial Unicode MS"/>
          <w:noProof/>
          <w:color w:val="000000" w:themeColor="text1"/>
        </w:rPr>
        <w:t>establishing the European Fund for economic, social and territorial cohesion, agriculture and rural, fisheries and maritime, prosperity</w:t>
      </w:r>
      <w:r w:rsidRPr="006B3F48">
        <w:rPr>
          <w:rFonts w:eastAsia="Arial Unicode MS"/>
          <w:noProof/>
          <w:color w:val="000000" w:themeColor="text1"/>
        </w:rPr>
        <w:t xml:space="preserve"> and security</w:t>
      </w:r>
      <w:r w:rsidRPr="006B3F48">
        <w:rPr>
          <w:noProof/>
        </w:rPr>
        <w:t xml:space="preserve">, it shall make a proposal for a Council implementing decision on the approval of those measures. </w:t>
      </w:r>
    </w:p>
    <w:p w14:paraId="291FFD10" w14:textId="77777777" w:rsidR="006C298A" w:rsidRPr="006B3F48" w:rsidRDefault="006C298A" w:rsidP="009C5035">
      <w:pPr>
        <w:pStyle w:val="ManualNumPar1"/>
        <w:rPr>
          <w:noProof/>
        </w:rPr>
      </w:pPr>
      <w:r w:rsidRPr="003347AC">
        <w:rPr>
          <w:noProof/>
        </w:rPr>
        <w:t>5.</w:t>
      </w:r>
      <w:r w:rsidRPr="003347AC">
        <w:rPr>
          <w:noProof/>
        </w:rPr>
        <w:tab/>
      </w:r>
      <w:r w:rsidRPr="006B3F48">
        <w:rPr>
          <w:rFonts w:eastAsia="Times New Roman"/>
          <w:noProof/>
        </w:rPr>
        <w:t>When m</w:t>
      </w:r>
      <w:r w:rsidRPr="006B3F48">
        <w:rPr>
          <w:noProof/>
        </w:rPr>
        <w:t xml:space="preserve">aking a proposal for a Council implementing decision on the measures that relate to the objectives set out in Article 3 of this Regulation, the Commission proposal shall lay down the elements referred to in Article 23(4) of the Regulation (EU) […] </w:t>
      </w:r>
      <w:r w:rsidRPr="006B3F48">
        <w:rPr>
          <w:rFonts w:eastAsia="Arial Unicode MS"/>
          <w:noProof/>
          <w:color w:val="000000" w:themeColor="text1"/>
        </w:rPr>
        <w:t>establishing the European Fund for economic, social and territorial cohesion, agriculture and rural, fisheries and maritime, prosperity and security</w:t>
      </w:r>
      <w:r w:rsidRPr="006B3F48">
        <w:rPr>
          <w:noProof/>
        </w:rPr>
        <w:t>, with regard to the objectives set out in Article 3.</w:t>
      </w:r>
    </w:p>
    <w:p w14:paraId="4B3C09B5" w14:textId="77777777" w:rsidR="006C298A" w:rsidRPr="006B3F48" w:rsidRDefault="006C298A" w:rsidP="009C5035">
      <w:pPr>
        <w:pStyle w:val="ManualNumPar1"/>
        <w:rPr>
          <w:noProof/>
        </w:rPr>
      </w:pPr>
      <w:r w:rsidRPr="003347AC">
        <w:rPr>
          <w:noProof/>
        </w:rPr>
        <w:t>6.</w:t>
      </w:r>
      <w:r w:rsidRPr="003347AC">
        <w:rPr>
          <w:noProof/>
        </w:rPr>
        <w:tab/>
      </w:r>
      <w:r w:rsidRPr="006B3F48">
        <w:rPr>
          <w:noProof/>
        </w:rPr>
        <w:t xml:space="preserve">The Council shall adopt the implementing decision referred to in paragraph </w:t>
      </w:r>
      <w:r>
        <w:rPr>
          <w:noProof/>
        </w:rPr>
        <w:t>4</w:t>
      </w:r>
      <w:r w:rsidRPr="006B3F48">
        <w:rPr>
          <w:noProof/>
        </w:rPr>
        <w:t>, as a rule, within four weeks of the adoption of the Commission proposal and together with the implementing decisions referred to in Article 23, paragraph (1) [</w:t>
      </w:r>
      <w:r w:rsidRPr="006B3F48">
        <w:rPr>
          <w:i/>
          <w:iCs/>
          <w:noProof/>
        </w:rPr>
        <w:t>Commission proposal and Council implementing decision]</w:t>
      </w:r>
      <w:r w:rsidRPr="006B3F48">
        <w:rPr>
          <w:noProof/>
        </w:rPr>
        <w:t xml:space="preserve"> of Regulation (EU) […] </w:t>
      </w:r>
      <w:r w:rsidRPr="006B3F48">
        <w:rPr>
          <w:rFonts w:eastAsia="Arial Unicode MS"/>
          <w:noProof/>
          <w:color w:val="000000" w:themeColor="text1"/>
        </w:rPr>
        <w:t>establishing the European Fund for economic, social and territorial cohesion, agriculture and rural, fisheries and maritime, prosperity and security</w:t>
      </w:r>
      <w:r w:rsidRPr="006B3F48">
        <w:rPr>
          <w:noProof/>
        </w:rPr>
        <w:t>.</w:t>
      </w:r>
    </w:p>
    <w:p w14:paraId="594D35C0" w14:textId="77777777" w:rsidR="006C298A" w:rsidRPr="006B3F48" w:rsidRDefault="006C298A" w:rsidP="009C5035">
      <w:pPr>
        <w:pStyle w:val="ManualNumPar1"/>
        <w:rPr>
          <w:noProof/>
        </w:rPr>
      </w:pPr>
      <w:r w:rsidRPr="003347AC">
        <w:rPr>
          <w:noProof/>
        </w:rPr>
        <w:t>7.</w:t>
      </w:r>
      <w:r w:rsidRPr="003347AC">
        <w:rPr>
          <w:noProof/>
        </w:rPr>
        <w:tab/>
      </w:r>
      <w:r w:rsidRPr="006B3F48">
        <w:rPr>
          <w:rFonts w:asciiTheme="majorBidi" w:eastAsia="Times New Roman" w:hAnsiTheme="majorBidi" w:cstheme="majorBidi"/>
          <w:noProof/>
        </w:rPr>
        <w:t xml:space="preserve">Article 24 of the </w:t>
      </w:r>
      <w:r w:rsidRPr="006B3F48">
        <w:rPr>
          <w:rFonts w:asciiTheme="majorBidi" w:hAnsiTheme="majorBidi" w:cstheme="majorBidi"/>
          <w:noProof/>
        </w:rPr>
        <w:t xml:space="preserve">Regulation (EU) […] </w:t>
      </w:r>
      <w:r w:rsidRPr="006B3F48">
        <w:rPr>
          <w:noProof/>
        </w:rPr>
        <w:t>establishing the European Fund for economic, social and territorial cohesion, agriculture and rural, fisheries and maritime, prosperity and security</w:t>
      </w:r>
      <w:r w:rsidRPr="006B3F48">
        <w:rPr>
          <w:rFonts w:asciiTheme="majorBidi" w:eastAsia="Times New Roman" w:hAnsiTheme="majorBidi" w:cstheme="majorBidi"/>
          <w:noProof/>
        </w:rPr>
        <w:t xml:space="preserve"> on the amendment of Plans shall apply, provided that the Commission proposal and the Council Implementing Decision approving amendments of the elements listed in Article 23(4) only cover the objectives referred to in Article 3</w:t>
      </w:r>
      <w:r>
        <w:rPr>
          <w:rFonts w:asciiTheme="majorBidi" w:eastAsia="Times New Roman" w:hAnsiTheme="majorBidi" w:cstheme="majorBidi"/>
          <w:noProof/>
        </w:rPr>
        <w:t xml:space="preserve"> of this Regulation</w:t>
      </w:r>
      <w:r w:rsidRPr="006B3F48">
        <w:rPr>
          <w:rFonts w:asciiTheme="majorBidi" w:eastAsia="Times New Roman" w:hAnsiTheme="majorBidi" w:cstheme="majorBidi"/>
          <w:noProof/>
        </w:rPr>
        <w:t>.</w:t>
      </w:r>
    </w:p>
    <w:p w14:paraId="0213EE28" w14:textId="77777777" w:rsidR="006C298A" w:rsidRPr="005A598E" w:rsidRDefault="006C298A" w:rsidP="009C5035">
      <w:pPr>
        <w:pStyle w:val="Titrearticle"/>
        <w:rPr>
          <w:noProof/>
        </w:rPr>
      </w:pPr>
      <w:r w:rsidRPr="006B3F48">
        <w:rPr>
          <w:noProof/>
        </w:rPr>
        <w:t>Article 5</w:t>
      </w:r>
      <w:r w:rsidRPr="005A598E">
        <w:rPr>
          <w:noProof/>
        </w:rPr>
        <w:t xml:space="preserve"> </w:t>
      </w:r>
    </w:p>
    <w:p w14:paraId="51A41B1E" w14:textId="77777777" w:rsidR="006C298A" w:rsidRPr="005A598E" w:rsidRDefault="006C298A" w:rsidP="009C5035">
      <w:pPr>
        <w:pStyle w:val="Titrearticle"/>
        <w:rPr>
          <w:noProof/>
          <w:szCs w:val="24"/>
        </w:rPr>
      </w:pPr>
      <w:r>
        <w:rPr>
          <w:b/>
          <w:bCs/>
          <w:noProof/>
        </w:rPr>
        <w:t>Schengen Associated Countries</w:t>
      </w:r>
    </w:p>
    <w:p w14:paraId="1FB13CA6" w14:textId="77777777" w:rsidR="006C298A" w:rsidRPr="005A598E" w:rsidRDefault="006C298A" w:rsidP="009C5035">
      <w:pPr>
        <w:pStyle w:val="Text1"/>
        <w:ind w:left="0"/>
        <w:rPr>
          <w:rStyle w:val="eop"/>
          <w:rFonts w:eastAsiaTheme="majorEastAsia"/>
          <w:noProof/>
        </w:rPr>
      </w:pPr>
      <w:r w:rsidRPr="005A598E">
        <w:rPr>
          <w:noProof/>
          <w:szCs w:val="24"/>
        </w:rPr>
        <w:t xml:space="preserve">In accordance with the relevant provisions of their respective association agreements, arrangements shall be made in order to specify the nature and modes of the participation in the Union support of countries associated with the implementation, application and development of the Schengen </w:t>
      </w:r>
      <w:r w:rsidRPr="005A598E">
        <w:rPr>
          <w:i/>
          <w:iCs/>
          <w:noProof/>
          <w:szCs w:val="24"/>
        </w:rPr>
        <w:t>acquis</w:t>
      </w:r>
      <w:r w:rsidRPr="005A598E">
        <w:rPr>
          <w:noProof/>
          <w:szCs w:val="24"/>
        </w:rPr>
        <w:t xml:space="preserve">. As soon as possible after the country concerned has notified its decision to accept the content of the Union support and to implement it in its internal legal order, in accordance with the relevant association agreement, the Commission shall submit a recommendation to the Council for the opening of negotiations on those arrangements under Article 218(3) TFEU. On receipt of the recommendation, the Council shall act without delay in deciding to authorise the opening of those </w:t>
      </w:r>
      <w:r w:rsidRPr="005A598E">
        <w:rPr>
          <w:noProof/>
          <w:szCs w:val="24"/>
        </w:rPr>
        <w:lastRenderedPageBreak/>
        <w:t>negotiations. The financia</w:t>
      </w:r>
      <w:r w:rsidRPr="005A598E">
        <w:rPr>
          <w:noProof/>
          <w:szCs w:val="24"/>
        </w:rPr>
        <w:t>l contributions from those countries shall be added to the overall resources available from the financial envelope referred to in Article</w:t>
      </w:r>
      <w:r>
        <w:rPr>
          <w:noProof/>
          <w:szCs w:val="24"/>
        </w:rPr>
        <w:t xml:space="preserve"> 4</w:t>
      </w:r>
      <w:r w:rsidRPr="005A598E">
        <w:rPr>
          <w:noProof/>
          <w:szCs w:val="24"/>
        </w:rPr>
        <w:t>.</w:t>
      </w:r>
    </w:p>
    <w:p w14:paraId="6D706240" w14:textId="77777777" w:rsidR="006C298A" w:rsidRPr="005A598E" w:rsidRDefault="006C298A" w:rsidP="009C5035">
      <w:pPr>
        <w:pStyle w:val="Titrearticle"/>
        <w:rPr>
          <w:noProof/>
        </w:rPr>
      </w:pPr>
      <w:r w:rsidRPr="005A598E">
        <w:rPr>
          <w:noProof/>
        </w:rPr>
        <w:t xml:space="preserve">Article </w:t>
      </w:r>
      <w:r>
        <w:rPr>
          <w:noProof/>
        </w:rPr>
        <w:t>6</w:t>
      </w:r>
    </w:p>
    <w:p w14:paraId="0B762910" w14:textId="77777777" w:rsidR="006C298A" w:rsidRPr="005A598E" w:rsidRDefault="006C298A" w:rsidP="009C5035">
      <w:pPr>
        <w:pStyle w:val="Titrearticle"/>
        <w:rPr>
          <w:b/>
          <w:bCs/>
          <w:noProof/>
          <w:szCs w:val="24"/>
        </w:rPr>
      </w:pPr>
      <w:bookmarkStart w:id="9" w:name="_Hlk195020056"/>
      <w:r w:rsidRPr="005A598E">
        <w:rPr>
          <w:b/>
          <w:bCs/>
          <w:noProof/>
          <w:szCs w:val="24"/>
        </w:rPr>
        <w:t>Support for the Special Transit Scheme</w:t>
      </w:r>
    </w:p>
    <w:p w14:paraId="4F120F5F" w14:textId="77777777" w:rsidR="006C298A" w:rsidRPr="0063135D" w:rsidRDefault="006C298A" w:rsidP="009C5035">
      <w:pPr>
        <w:pStyle w:val="ManualNumPar1"/>
        <w:rPr>
          <w:noProof/>
        </w:rPr>
      </w:pPr>
      <w:r w:rsidRPr="003347AC">
        <w:rPr>
          <w:noProof/>
        </w:rPr>
        <w:t>1.</w:t>
      </w:r>
      <w:r w:rsidRPr="003347AC">
        <w:rPr>
          <w:noProof/>
        </w:rPr>
        <w:tab/>
      </w:r>
      <w:r w:rsidRPr="005A598E">
        <w:rPr>
          <w:noProof/>
        </w:rPr>
        <w:t xml:space="preserve">An amount of up to </w:t>
      </w:r>
      <w:r w:rsidRPr="00BA0959">
        <w:rPr>
          <w:b/>
          <w:bCs/>
          <w:noProof/>
          <w:u w:val="single"/>
        </w:rPr>
        <w:t>[</w:t>
      </w:r>
      <w:r w:rsidRPr="0063135D">
        <w:rPr>
          <w:noProof/>
        </w:rPr>
        <w:t>EUR</w:t>
      </w:r>
      <w:r>
        <w:rPr>
          <w:noProof/>
        </w:rPr>
        <w:t> 450 000 000</w:t>
      </w:r>
      <w:r w:rsidRPr="00BA0959">
        <w:rPr>
          <w:b/>
          <w:bCs/>
          <w:noProof/>
          <w:u w:val="single"/>
        </w:rPr>
        <w:t>]</w:t>
      </w:r>
      <w:r w:rsidRPr="0063135D">
        <w:rPr>
          <w:noProof/>
        </w:rPr>
        <w:t xml:space="preserve"> shall be allocated to Lithuania’s National and Regional Partnership Plan pursuant to Regulation (EU) […] </w:t>
      </w:r>
      <w:r w:rsidRPr="0063135D">
        <w:rPr>
          <w:rFonts w:eastAsia="Arial Unicode MS"/>
          <w:noProof/>
          <w:color w:val="000000" w:themeColor="text1"/>
        </w:rPr>
        <w:t>establishing the European Fund for economic, social and territorial cohesion, agriculture and rural, fisheries and maritime, prosperity and security</w:t>
      </w:r>
      <w:r w:rsidRPr="0063135D">
        <w:rPr>
          <w:noProof/>
        </w:rPr>
        <w:t xml:space="preserve"> to provide support for foregone income from processing short-stay visas and additional costs in implementing the Facilitated Transit Document (FTD) and the Facilitated Rail Transit Document (FRTD) scheme in accordance wi</w:t>
      </w:r>
      <w:r w:rsidRPr="0063135D">
        <w:rPr>
          <w:noProof/>
        </w:rPr>
        <w:t>th Council Regulation (EC) No 693/2003 and Regulation (EC) No 694/2003 amended by Regulation (EU) 2023/2667 of the European Parliament and of the Council.</w:t>
      </w:r>
    </w:p>
    <w:p w14:paraId="02E49113" w14:textId="77777777" w:rsidR="006C298A" w:rsidRPr="0063135D" w:rsidRDefault="006C298A" w:rsidP="009C5035">
      <w:pPr>
        <w:pStyle w:val="ManualNumPar1"/>
        <w:rPr>
          <w:noProof/>
        </w:rPr>
      </w:pPr>
      <w:r w:rsidRPr="003347AC">
        <w:rPr>
          <w:noProof/>
        </w:rPr>
        <w:t>2.</w:t>
      </w:r>
      <w:r w:rsidRPr="003347AC">
        <w:rPr>
          <w:noProof/>
        </w:rPr>
        <w:tab/>
      </w:r>
      <w:r w:rsidRPr="0063135D">
        <w:rPr>
          <w:noProof/>
          <w:lang w:val="en-US"/>
        </w:rPr>
        <w:t xml:space="preserve">For the purpose of paragraph 1, the support from the Union for the foregone income shall be based on the issuance of FTDs and FRTDs. The ceiling for the support shall be set at </w:t>
      </w:r>
      <w:r w:rsidRPr="00BA0959">
        <w:rPr>
          <w:b/>
          <w:bCs/>
          <w:noProof/>
          <w:u w:val="single"/>
          <w:lang w:val="en-US"/>
        </w:rPr>
        <w:t>[</w:t>
      </w:r>
      <w:r w:rsidRPr="0063135D">
        <w:rPr>
          <w:noProof/>
          <w:lang w:val="en-US"/>
        </w:rPr>
        <w:t>EUR</w:t>
      </w:r>
      <w:r>
        <w:rPr>
          <w:noProof/>
          <w:lang w:val="en-US"/>
        </w:rPr>
        <w:t> 100 000 000</w:t>
      </w:r>
      <w:r w:rsidRPr="00BA0959">
        <w:rPr>
          <w:b/>
          <w:bCs/>
          <w:noProof/>
          <w:u w:val="single"/>
          <w:lang w:val="en-US"/>
        </w:rPr>
        <w:t>]</w:t>
      </w:r>
      <w:r w:rsidRPr="0063135D">
        <w:rPr>
          <w:noProof/>
          <w:lang w:val="en-US"/>
        </w:rPr>
        <w:t xml:space="preserve">. </w:t>
      </w:r>
    </w:p>
    <w:p w14:paraId="159E260D" w14:textId="77777777" w:rsidR="006C298A" w:rsidRPr="0063135D" w:rsidRDefault="006C298A" w:rsidP="009C5035">
      <w:pPr>
        <w:pStyle w:val="ManualNumPar1"/>
        <w:rPr>
          <w:noProof/>
        </w:rPr>
      </w:pPr>
      <w:r w:rsidRPr="003347AC">
        <w:rPr>
          <w:noProof/>
        </w:rPr>
        <w:t>3.</w:t>
      </w:r>
      <w:r w:rsidRPr="003347AC">
        <w:rPr>
          <w:noProof/>
        </w:rPr>
        <w:tab/>
      </w:r>
      <w:r w:rsidRPr="0063135D">
        <w:rPr>
          <w:noProof/>
          <w:lang w:val="en-US"/>
        </w:rPr>
        <w:t>For the purpose of paragraph 1, the support from the Union shall cover the additional estimated costs resulting directly from the specific requirements of implementing the operation of the Special Transit Scheme and which are not generated as a result of the issuing of visas under Regulation (EC) 810/2009 of the European Parliament and of the Council (</w:t>
      </w:r>
      <w:r w:rsidRPr="0063135D">
        <w:rPr>
          <w:rStyle w:val="FootnoteReference"/>
          <w:noProof/>
        </w:rPr>
        <w:footnoteReference w:id="23"/>
      </w:r>
      <w:r w:rsidRPr="0063135D">
        <w:rPr>
          <w:noProof/>
          <w:lang w:val="en-US"/>
        </w:rPr>
        <w:t>).</w:t>
      </w:r>
    </w:p>
    <w:p w14:paraId="6F267147" w14:textId="77777777" w:rsidR="006C298A" w:rsidRPr="005A598E" w:rsidRDefault="006C298A" w:rsidP="009C5035">
      <w:pPr>
        <w:ind w:left="850"/>
        <w:rPr>
          <w:noProof/>
          <w:color w:val="000000"/>
          <w:szCs w:val="24"/>
          <w:lang w:val="en-US"/>
        </w:rPr>
      </w:pPr>
      <w:r w:rsidRPr="0063135D">
        <w:rPr>
          <w:noProof/>
          <w:color w:val="000000"/>
          <w:szCs w:val="24"/>
          <w:lang w:val="en-US"/>
        </w:rPr>
        <w:t xml:space="preserve">The maximum contribution of the Union budget shall be 100% of the total estimated costs. The ceiling for this support shall be set at </w:t>
      </w:r>
      <w:r w:rsidRPr="00BA0959">
        <w:rPr>
          <w:b/>
          <w:bCs/>
          <w:noProof/>
          <w:u w:val="single"/>
          <w:lang w:val="en-US"/>
        </w:rPr>
        <w:t>[</w:t>
      </w:r>
      <w:r w:rsidRPr="0063135D">
        <w:rPr>
          <w:noProof/>
          <w:color w:val="000000"/>
          <w:szCs w:val="24"/>
          <w:lang w:val="en-US"/>
        </w:rPr>
        <w:t>EUR</w:t>
      </w:r>
      <w:r>
        <w:rPr>
          <w:noProof/>
          <w:color w:val="000000"/>
          <w:szCs w:val="24"/>
          <w:lang w:val="en-US"/>
        </w:rPr>
        <w:t> 350 000 000</w:t>
      </w:r>
      <w:r w:rsidRPr="00BA0959">
        <w:rPr>
          <w:b/>
          <w:bCs/>
          <w:noProof/>
          <w:u w:val="single"/>
          <w:lang w:val="en-US"/>
        </w:rPr>
        <w:t>]</w:t>
      </w:r>
      <w:r w:rsidRPr="0063135D">
        <w:rPr>
          <w:noProof/>
          <w:color w:val="000000"/>
          <w:szCs w:val="24"/>
          <w:lang w:val="en-US"/>
        </w:rPr>
        <w:t>.</w:t>
      </w:r>
    </w:p>
    <w:p w14:paraId="30D4963F" w14:textId="77777777" w:rsidR="006C298A" w:rsidRPr="005A598E" w:rsidRDefault="006C298A" w:rsidP="009C5035">
      <w:pPr>
        <w:ind w:left="346" w:firstLine="504"/>
        <w:rPr>
          <w:noProof/>
          <w:szCs w:val="24"/>
        </w:rPr>
      </w:pPr>
      <w:r w:rsidRPr="005A598E">
        <w:rPr>
          <w:noProof/>
          <w:color w:val="000000"/>
          <w:szCs w:val="24"/>
          <w:lang w:val="en-US"/>
        </w:rPr>
        <w:t xml:space="preserve">The additional estimated costs shall cover in particular: </w:t>
      </w:r>
    </w:p>
    <w:p w14:paraId="6694C6A0" w14:textId="77777777" w:rsidR="006C298A" w:rsidRPr="005A598E" w:rsidRDefault="006C298A" w:rsidP="009C5035">
      <w:pPr>
        <w:pStyle w:val="ListNumber"/>
        <w:numPr>
          <w:ilvl w:val="0"/>
          <w:numId w:val="23"/>
        </w:numPr>
        <w:ind w:left="1094" w:hanging="357"/>
        <w:rPr>
          <w:rFonts w:eastAsia="Aptos"/>
          <w:noProof/>
          <w:color w:val="000000"/>
          <w:kern w:val="2"/>
          <w:szCs w:val="24"/>
          <w:lang w:val="en-US" w:eastAsia="en-GB"/>
        </w:rPr>
      </w:pPr>
      <w:r w:rsidRPr="005A598E">
        <w:rPr>
          <w:noProof/>
          <w:szCs w:val="24"/>
        </w:rPr>
        <w:t>investment</w:t>
      </w:r>
      <w:r w:rsidRPr="005A598E">
        <w:rPr>
          <w:rFonts w:eastAsia="Aptos"/>
          <w:noProof/>
          <w:kern w:val="2"/>
          <w:szCs w:val="24"/>
          <w:lang w:val="en-US" w:eastAsia="en-GB"/>
        </w:rPr>
        <w:t xml:space="preserve"> in infrastructures, means of transport, ICT systems and equipment necessary for the operation of the Special Transit Scheme;</w:t>
      </w:r>
    </w:p>
    <w:p w14:paraId="7494DCDC" w14:textId="77777777" w:rsidR="006C298A" w:rsidRPr="005A598E" w:rsidRDefault="006C298A" w:rsidP="009C5035">
      <w:pPr>
        <w:pStyle w:val="ListNumber"/>
        <w:numPr>
          <w:ilvl w:val="0"/>
          <w:numId w:val="23"/>
        </w:numPr>
        <w:ind w:left="1094" w:hanging="357"/>
        <w:rPr>
          <w:rFonts w:eastAsia="Aptos"/>
          <w:noProof/>
          <w:kern w:val="2"/>
          <w:szCs w:val="24"/>
          <w:lang w:val="en-US" w:eastAsia="en-GB"/>
        </w:rPr>
      </w:pPr>
      <w:r w:rsidRPr="005A598E">
        <w:rPr>
          <w:rFonts w:eastAsia="Aptos"/>
          <w:noProof/>
          <w:kern w:val="2"/>
          <w:szCs w:val="24"/>
          <w:lang w:val="en-US" w:eastAsia="en-GB"/>
        </w:rPr>
        <w:t>training of staff implementing the Special Transit Scheme;</w:t>
      </w:r>
    </w:p>
    <w:p w14:paraId="0DE9E3FA" w14:textId="77777777" w:rsidR="006C298A" w:rsidRPr="005A598E" w:rsidRDefault="006C298A" w:rsidP="009C5035">
      <w:pPr>
        <w:pStyle w:val="ListNumber"/>
        <w:numPr>
          <w:ilvl w:val="0"/>
          <w:numId w:val="23"/>
        </w:numPr>
        <w:ind w:left="1094" w:hanging="357"/>
        <w:rPr>
          <w:rFonts w:eastAsia="Aptos"/>
          <w:noProof/>
          <w:kern w:val="2"/>
          <w:szCs w:val="24"/>
          <w:lang w:val="en-US" w:eastAsia="en-GB"/>
        </w:rPr>
      </w:pPr>
      <w:r w:rsidRPr="005A598E">
        <w:rPr>
          <w:rFonts w:eastAsia="Aptos"/>
          <w:noProof/>
          <w:kern w:val="2"/>
          <w:szCs w:val="24"/>
          <w:lang w:val="en-US" w:eastAsia="en-GB"/>
        </w:rPr>
        <w:t xml:space="preserve">additional operational costs, including staff costs for the implementation of the Special Transit Scheme. </w:t>
      </w:r>
    </w:p>
    <w:p w14:paraId="60DBB1A1" w14:textId="77777777" w:rsidR="006C298A" w:rsidRPr="005A598E" w:rsidRDefault="006C298A" w:rsidP="009C5035">
      <w:pPr>
        <w:pStyle w:val="ManualNumPar1"/>
        <w:rPr>
          <w:noProof/>
        </w:rPr>
      </w:pPr>
      <w:r w:rsidRPr="003347AC">
        <w:rPr>
          <w:noProof/>
        </w:rPr>
        <w:t>4.</w:t>
      </w:r>
      <w:r w:rsidRPr="003347AC">
        <w:rPr>
          <w:noProof/>
        </w:rPr>
        <w:tab/>
      </w:r>
      <w:r w:rsidRPr="005A598E">
        <w:rPr>
          <w:noProof/>
        </w:rPr>
        <w:t>The Commission and Lithuania shall review the application of this Article in the event of unforeseen circumstances which have an impact on the existence or functioning of the Special Transit Scheme.</w:t>
      </w:r>
    </w:p>
    <w:p w14:paraId="673A5616" w14:textId="77777777" w:rsidR="006C298A" w:rsidRPr="006B3F48" w:rsidRDefault="006C298A" w:rsidP="009C5035">
      <w:pPr>
        <w:pStyle w:val="ManualNumPar1"/>
        <w:rPr>
          <w:noProof/>
        </w:rPr>
      </w:pPr>
      <w:r w:rsidRPr="003347AC">
        <w:rPr>
          <w:noProof/>
        </w:rPr>
        <w:lastRenderedPageBreak/>
        <w:t>5.</w:t>
      </w:r>
      <w:r w:rsidRPr="003347AC">
        <w:rPr>
          <w:noProof/>
        </w:rPr>
        <w:tab/>
      </w:r>
      <w:r w:rsidRPr="005A598E">
        <w:rPr>
          <w:noProof/>
        </w:rPr>
        <w:t xml:space="preserve">The amounts referred to in paragraphs 2 and 3 shall be allocated to Lithuania’s National and Regional Partnership Plan. Those amounts shall not </w:t>
      </w:r>
      <w:r w:rsidRPr="006B3F48">
        <w:rPr>
          <w:noProof/>
        </w:rPr>
        <w:t xml:space="preserve">be used for other measures in the Plan except in duly justified circumstances, as approved by the Commission through the amendment of that Plan pursuant to Article 24 of Regulation (EU) […] </w:t>
      </w:r>
      <w:r w:rsidRPr="006B3F48">
        <w:rPr>
          <w:rFonts w:eastAsia="Arial Unicode MS"/>
          <w:noProof/>
          <w:color w:val="000000" w:themeColor="text1"/>
        </w:rPr>
        <w:t>establishing the European Fund for economic, social and territorial cohesion, agriculture and rural, fisheries and maritime, prosperity and security</w:t>
      </w:r>
      <w:r w:rsidRPr="006B3F48">
        <w:rPr>
          <w:noProof/>
        </w:rPr>
        <w:t xml:space="preserve">. </w:t>
      </w:r>
    </w:p>
    <w:p w14:paraId="440579B6" w14:textId="77777777" w:rsidR="006C298A" w:rsidRPr="006B3F48" w:rsidRDefault="006C298A" w:rsidP="009C5035">
      <w:pPr>
        <w:rPr>
          <w:noProof/>
        </w:rPr>
      </w:pPr>
      <w:r w:rsidRPr="006B3F48">
        <w:rPr>
          <w:noProof/>
        </w:rPr>
        <w:t xml:space="preserve">Following a reasoned request by Lithuania, the amount referred </w:t>
      </w:r>
      <w:r w:rsidRPr="003A026B">
        <w:rPr>
          <w:noProof/>
        </w:rPr>
        <w:t xml:space="preserve">to in paragraph 3 may be reviewed and, where necessary, adjusted before the adoption of the last work programme pursuant to Article 31 of Regulation (EU) […] establishing the European Fund for economic, social and territorial cohesion, agriculture and rural, fisheries and maritime, prosperity and security. Any additional amounts will be allocated to Lithuania’s National and Regional Partnership Plan in accordance with Article 31(7) of Regulation (EU) […] </w:t>
      </w:r>
      <w:r w:rsidRPr="003A026B">
        <w:rPr>
          <w:rFonts w:eastAsia="Arial Unicode MS"/>
          <w:noProof/>
          <w:color w:val="000000" w:themeColor="text1"/>
        </w:rPr>
        <w:t>establishing</w:t>
      </w:r>
      <w:r w:rsidRPr="006B3F48">
        <w:rPr>
          <w:rFonts w:eastAsia="Arial Unicode MS"/>
          <w:noProof/>
          <w:color w:val="000000" w:themeColor="text1"/>
        </w:rPr>
        <w:t xml:space="preserve"> the European Fund for economic, social a</w:t>
      </w:r>
      <w:r w:rsidRPr="006B3F48">
        <w:rPr>
          <w:rFonts w:eastAsia="Arial Unicode MS"/>
          <w:noProof/>
          <w:color w:val="000000" w:themeColor="text1"/>
        </w:rPr>
        <w:t>nd territorial cohesion, agriculture and rural, fisheries and maritime, prosperity and security</w:t>
      </w:r>
      <w:r w:rsidRPr="006B3F48">
        <w:rPr>
          <w:noProof/>
        </w:rPr>
        <w:t>.</w:t>
      </w:r>
    </w:p>
    <w:bookmarkEnd w:id="9"/>
    <w:p w14:paraId="211B0E4A" w14:textId="77777777" w:rsidR="006C298A" w:rsidRPr="005A598E" w:rsidRDefault="006C298A" w:rsidP="009C5035">
      <w:pPr>
        <w:pStyle w:val="Titrearticle"/>
        <w:rPr>
          <w:noProof/>
        </w:rPr>
      </w:pPr>
      <w:r w:rsidRPr="006B3F48">
        <w:rPr>
          <w:noProof/>
        </w:rPr>
        <w:t>Article 7</w:t>
      </w:r>
    </w:p>
    <w:p w14:paraId="25FFF830" w14:textId="77777777" w:rsidR="006C298A" w:rsidRPr="005A598E" w:rsidRDefault="006C298A" w:rsidP="009C5035">
      <w:pPr>
        <w:pStyle w:val="Titrearticle"/>
        <w:rPr>
          <w:b/>
          <w:bCs/>
          <w:noProof/>
        </w:rPr>
      </w:pPr>
      <w:r w:rsidRPr="005A598E">
        <w:rPr>
          <w:b/>
          <w:bCs/>
          <w:noProof/>
        </w:rPr>
        <w:t>Resources for operating costs of the European Travel Information and Authorisation System (ETIAS)</w:t>
      </w:r>
    </w:p>
    <w:p w14:paraId="67E111F7" w14:textId="77777777" w:rsidR="006C298A" w:rsidRPr="00E44E60" w:rsidRDefault="006C298A" w:rsidP="009C5035">
      <w:pPr>
        <w:pStyle w:val="ManualNumPar1"/>
        <w:rPr>
          <w:noProof/>
        </w:rPr>
      </w:pPr>
      <w:r w:rsidRPr="003347AC">
        <w:rPr>
          <w:noProof/>
        </w:rPr>
        <w:t>1.</w:t>
      </w:r>
      <w:r w:rsidRPr="003347AC">
        <w:rPr>
          <w:noProof/>
        </w:rPr>
        <w:tab/>
      </w:r>
      <w:r w:rsidRPr="005A598E">
        <w:rPr>
          <w:noProof/>
        </w:rPr>
        <w:t xml:space="preserve">Each Member State shall set up an effective and reliable system ensuring that the operating costs incurred by that Member State under Article 85(2) and 85(3) of Regulation (EU) 2018/1240 are adequately identified and recorded. By 31 January of each year, and for the first time by 31 January 2029, Member States shall communicate to the Commission the total operating costs incurred for the previous </w:t>
      </w:r>
      <w:r w:rsidRPr="00E44E60">
        <w:rPr>
          <w:noProof/>
        </w:rPr>
        <w:t xml:space="preserve">year. </w:t>
      </w:r>
    </w:p>
    <w:p w14:paraId="407B2A57" w14:textId="77777777" w:rsidR="006C298A" w:rsidRPr="00E44E60" w:rsidRDefault="006C298A" w:rsidP="009C5035">
      <w:pPr>
        <w:pStyle w:val="ManualNumPar1"/>
        <w:rPr>
          <w:noProof/>
        </w:rPr>
      </w:pPr>
      <w:r w:rsidRPr="003347AC">
        <w:rPr>
          <w:noProof/>
        </w:rPr>
        <w:t>2.</w:t>
      </w:r>
      <w:r w:rsidRPr="003347AC">
        <w:rPr>
          <w:noProof/>
        </w:rPr>
        <w:tab/>
      </w:r>
      <w:r w:rsidRPr="00981E09">
        <w:rPr>
          <w:b/>
          <w:bCs/>
          <w:noProof/>
          <w:u w:val="single"/>
        </w:rPr>
        <w:t>[</w:t>
      </w:r>
      <w:r w:rsidRPr="00E44E60">
        <w:rPr>
          <w:noProof/>
        </w:rPr>
        <w:t xml:space="preserve">On the basis of the information communicated by the Member States in accordance with paragraph 1, the Commission shall establish the amount of revenues generated by ETIAS fees to be assigned in accordance with Article 86, second sentence of Regulation (EU) 2018/1240 for covering operating costs incurred by Member States. The Commission shall make available to each Member State their </w:t>
      </w:r>
      <w:r>
        <w:rPr>
          <w:noProof/>
        </w:rPr>
        <w:t xml:space="preserve">respective </w:t>
      </w:r>
      <w:r w:rsidRPr="00E44E60">
        <w:rPr>
          <w:noProof/>
        </w:rPr>
        <w:t xml:space="preserve">share of this amount. </w:t>
      </w:r>
    </w:p>
    <w:p w14:paraId="50141DE0" w14:textId="77777777" w:rsidR="006C298A" w:rsidRPr="00E44E60" w:rsidRDefault="006C298A" w:rsidP="009C5035">
      <w:pPr>
        <w:pStyle w:val="ManualNumPar1"/>
        <w:rPr>
          <w:noProof/>
        </w:rPr>
      </w:pPr>
      <w:r w:rsidRPr="003347AC">
        <w:rPr>
          <w:noProof/>
        </w:rPr>
        <w:t>3.</w:t>
      </w:r>
      <w:r w:rsidRPr="003347AC">
        <w:rPr>
          <w:noProof/>
        </w:rPr>
        <w:tab/>
      </w:r>
      <w:r w:rsidRPr="00E44E60">
        <w:rPr>
          <w:noProof/>
        </w:rPr>
        <w:t xml:space="preserve">Where the amount of total operating costs communicated by the Member States under paragraph 1 exceeds the available ETIAS revenue, or, where the amount of expenses incurred to customise and automate border checks in order to implement ETIAS exceeds the limits set out in 85(3) of Regulation (EU) 2018/1240, the Commission shall calculate a </w:t>
      </w:r>
      <w:r w:rsidRPr="00E44E60">
        <w:rPr>
          <w:i/>
          <w:iCs/>
          <w:noProof/>
        </w:rPr>
        <w:t>pro rata</w:t>
      </w:r>
      <w:r w:rsidRPr="00E44E60">
        <w:rPr>
          <w:noProof/>
        </w:rPr>
        <w:t xml:space="preserve"> reduction of these amounts.</w:t>
      </w:r>
    </w:p>
    <w:p w14:paraId="2ECB0526" w14:textId="77777777" w:rsidR="006C298A" w:rsidRPr="00E44E60" w:rsidRDefault="006C298A" w:rsidP="009C5035">
      <w:pPr>
        <w:pStyle w:val="ManualNumPar1"/>
        <w:rPr>
          <w:noProof/>
        </w:rPr>
      </w:pPr>
      <w:bookmarkStart w:id="10" w:name="_Hlk202881652"/>
      <w:r w:rsidRPr="003347AC">
        <w:rPr>
          <w:noProof/>
        </w:rPr>
        <w:t>4.</w:t>
      </w:r>
      <w:r w:rsidRPr="003347AC">
        <w:rPr>
          <w:noProof/>
        </w:rPr>
        <w:tab/>
      </w:r>
      <w:r w:rsidRPr="00E44E60">
        <w:rPr>
          <w:noProof/>
        </w:rPr>
        <w:t xml:space="preserve">Where the amount of total operating costs in a given year exceeds the available ETIAS revenue, the Commission </w:t>
      </w:r>
      <w:r>
        <w:rPr>
          <w:noProof/>
        </w:rPr>
        <w:t xml:space="preserve">shall </w:t>
      </w:r>
      <w:r w:rsidRPr="00E44E60">
        <w:rPr>
          <w:noProof/>
        </w:rPr>
        <w:t>subsequently make available to the Member States the amount corresponding to the pro rata reduction of their total operating costs from revenues generated by ETIAS fees.</w:t>
      </w:r>
      <w:r w:rsidRPr="00981E09">
        <w:rPr>
          <w:b/>
          <w:bCs/>
          <w:noProof/>
          <w:u w:val="single"/>
        </w:rPr>
        <w:t>]</w:t>
      </w:r>
    </w:p>
    <w:bookmarkEnd w:id="10"/>
    <w:p w14:paraId="3D91566D" w14:textId="77777777" w:rsidR="006C298A" w:rsidRPr="005A598E" w:rsidRDefault="006C298A" w:rsidP="009C5035">
      <w:pPr>
        <w:pStyle w:val="Titrearticle"/>
        <w:rPr>
          <w:noProof/>
          <w:szCs w:val="24"/>
        </w:rPr>
      </w:pPr>
      <w:r w:rsidRPr="005A598E">
        <w:rPr>
          <w:noProof/>
        </w:rPr>
        <w:lastRenderedPageBreak/>
        <w:t xml:space="preserve">Article </w:t>
      </w:r>
      <w:r>
        <w:rPr>
          <w:noProof/>
        </w:rPr>
        <w:t>8</w:t>
      </w:r>
    </w:p>
    <w:p w14:paraId="0BAD625A" w14:textId="77777777" w:rsidR="006C298A" w:rsidRPr="005A598E" w:rsidRDefault="006C298A" w:rsidP="009C5035">
      <w:pPr>
        <w:pStyle w:val="Titrearticle"/>
        <w:rPr>
          <w:noProof/>
          <w:szCs w:val="24"/>
        </w:rPr>
      </w:pPr>
      <w:r>
        <w:rPr>
          <w:b/>
          <w:bCs/>
          <w:noProof/>
          <w:szCs w:val="24"/>
        </w:rPr>
        <w:t>Financial contributions for t</w:t>
      </w:r>
      <w:r w:rsidRPr="001536A8">
        <w:rPr>
          <w:b/>
          <w:bCs/>
          <w:noProof/>
          <w:szCs w:val="24"/>
        </w:rPr>
        <w:t>he Annual Solidarity Pool</w:t>
      </w:r>
    </w:p>
    <w:p w14:paraId="15A2C681" w14:textId="77777777" w:rsidR="006C298A" w:rsidRPr="00DB12DF" w:rsidRDefault="006C298A" w:rsidP="009C5035">
      <w:pPr>
        <w:rPr>
          <w:noProof/>
          <w:szCs w:val="24"/>
        </w:rPr>
      </w:pPr>
      <w:r w:rsidRPr="006866F6">
        <w:rPr>
          <w:noProof/>
        </w:rPr>
        <w:t xml:space="preserve">The Commission shall calculate and make available to each benefitting Member State </w:t>
      </w:r>
      <w:r w:rsidRPr="009C4158">
        <w:rPr>
          <w:noProof/>
        </w:rPr>
        <w:t>the respective share of the financial contributions</w:t>
      </w:r>
      <w:r w:rsidRPr="006866F6">
        <w:rPr>
          <w:noProof/>
        </w:rPr>
        <w:t xml:space="preserve"> transferred by the contributing Member States in accordance with Article 64(1) of Regulation EU 2024/1351 for the purpose of implementing the actions set out in Article 56(2)(b) of Regulation (EU) 2024/1351.</w:t>
      </w:r>
    </w:p>
    <w:p w14:paraId="20A5F1FF" w14:textId="77777777" w:rsidR="006C298A" w:rsidRPr="005A598E" w:rsidRDefault="006C298A" w:rsidP="009C5035">
      <w:pPr>
        <w:pStyle w:val="Titrearticle"/>
        <w:rPr>
          <w:noProof/>
        </w:rPr>
      </w:pPr>
      <w:r w:rsidRPr="005A598E">
        <w:rPr>
          <w:noProof/>
        </w:rPr>
        <w:t xml:space="preserve">Article </w:t>
      </w:r>
      <w:r>
        <w:rPr>
          <w:noProof/>
        </w:rPr>
        <w:t>9</w:t>
      </w:r>
      <w:r w:rsidRPr="005A598E" w:rsidDel="00FB7114">
        <w:rPr>
          <w:noProof/>
        </w:rPr>
        <w:t xml:space="preserve"> </w:t>
      </w:r>
    </w:p>
    <w:p w14:paraId="194180C8" w14:textId="77777777" w:rsidR="006C298A" w:rsidRPr="006B3F48" w:rsidRDefault="006C298A" w:rsidP="009C5035">
      <w:pPr>
        <w:pStyle w:val="Titrearticle"/>
        <w:rPr>
          <w:i w:val="0"/>
          <w:noProof/>
        </w:rPr>
      </w:pPr>
      <w:r w:rsidRPr="005A598E">
        <w:rPr>
          <w:b/>
          <w:bCs/>
          <w:iCs/>
          <w:noProof/>
          <w:szCs w:val="24"/>
        </w:rPr>
        <w:t xml:space="preserve">Transitional </w:t>
      </w:r>
      <w:r w:rsidRPr="006B3F48">
        <w:rPr>
          <w:b/>
          <w:bCs/>
          <w:iCs/>
          <w:noProof/>
          <w:szCs w:val="24"/>
        </w:rPr>
        <w:t>provisions</w:t>
      </w:r>
    </w:p>
    <w:p w14:paraId="00F63487" w14:textId="77777777" w:rsidR="006C298A" w:rsidRPr="006B3F48" w:rsidRDefault="006C298A" w:rsidP="009C5035">
      <w:pPr>
        <w:rPr>
          <w:noProof/>
        </w:rPr>
      </w:pPr>
      <w:r>
        <w:rPr>
          <w:noProof/>
        </w:rPr>
        <w:t>T</w:t>
      </w:r>
      <w:r w:rsidRPr="006B3F48">
        <w:rPr>
          <w:noProof/>
        </w:rPr>
        <w:t xml:space="preserve">his Regulation shall not affect the continuation or modification of the actions </w:t>
      </w:r>
      <w:r>
        <w:rPr>
          <w:noProof/>
        </w:rPr>
        <w:t xml:space="preserve">initiated </w:t>
      </w:r>
      <w:r w:rsidRPr="006B3F48">
        <w:rPr>
          <w:noProof/>
        </w:rPr>
        <w:t>under Regulation (EU) 2021/1148, which shall continue to apply to the actions concerned until their closure.</w:t>
      </w:r>
    </w:p>
    <w:p w14:paraId="0049D78B" w14:textId="77777777" w:rsidR="006C298A" w:rsidRPr="006B3F48" w:rsidRDefault="006C298A" w:rsidP="009C5035">
      <w:pPr>
        <w:pStyle w:val="Titrearticle"/>
        <w:rPr>
          <w:noProof/>
        </w:rPr>
      </w:pPr>
      <w:r w:rsidRPr="006B3F48">
        <w:rPr>
          <w:noProof/>
        </w:rPr>
        <w:t>Article 10</w:t>
      </w:r>
    </w:p>
    <w:p w14:paraId="2BDEA153" w14:textId="77777777" w:rsidR="006C298A" w:rsidRPr="006B3F48" w:rsidRDefault="006C298A" w:rsidP="009C5035">
      <w:pPr>
        <w:pStyle w:val="Titrearticle"/>
        <w:rPr>
          <w:b/>
          <w:bCs/>
          <w:noProof/>
        </w:rPr>
      </w:pPr>
      <w:r w:rsidRPr="006B3F48">
        <w:rPr>
          <w:b/>
          <w:bCs/>
          <w:noProof/>
        </w:rPr>
        <w:t>Entry into force and application</w:t>
      </w:r>
    </w:p>
    <w:p w14:paraId="16DFCA7A" w14:textId="77777777" w:rsidR="006C298A" w:rsidRPr="006B3F48" w:rsidRDefault="006C298A" w:rsidP="009C5035">
      <w:pPr>
        <w:rPr>
          <w:noProof/>
          <w:szCs w:val="24"/>
        </w:rPr>
      </w:pPr>
      <w:r w:rsidRPr="006B3F48">
        <w:rPr>
          <w:noProof/>
          <w:szCs w:val="24"/>
        </w:rPr>
        <w:t xml:space="preserve">This Regulation shall enter into force on the </w:t>
      </w:r>
      <w:r w:rsidRPr="006B3F48">
        <w:rPr>
          <w:noProof/>
        </w:rPr>
        <w:t xml:space="preserve">[twentieth] </w:t>
      </w:r>
      <w:r w:rsidRPr="006B3F48">
        <w:rPr>
          <w:noProof/>
          <w:szCs w:val="24"/>
        </w:rPr>
        <w:t xml:space="preserve">day following that of its publication in the </w:t>
      </w:r>
      <w:r w:rsidRPr="006B3F48">
        <w:rPr>
          <w:i/>
          <w:noProof/>
          <w:szCs w:val="24"/>
        </w:rPr>
        <w:t>Official Journal of the European Union</w:t>
      </w:r>
      <w:r w:rsidRPr="006B3F48">
        <w:rPr>
          <w:noProof/>
          <w:szCs w:val="24"/>
        </w:rPr>
        <w:t>.</w:t>
      </w:r>
    </w:p>
    <w:p w14:paraId="226765D1" w14:textId="77777777" w:rsidR="006C298A" w:rsidRPr="006B3F48" w:rsidRDefault="006C298A" w:rsidP="009C5035">
      <w:pPr>
        <w:rPr>
          <w:noProof/>
        </w:rPr>
      </w:pPr>
      <w:r w:rsidRPr="006B3F48">
        <w:rPr>
          <w:noProof/>
          <w:szCs w:val="24"/>
        </w:rPr>
        <w:t xml:space="preserve">It shall apply from </w:t>
      </w:r>
      <w:r w:rsidRPr="006B3F48">
        <w:rPr>
          <w:noProof/>
          <w:szCs w:val="24"/>
          <w:lang w:val="en-US"/>
        </w:rPr>
        <w:t xml:space="preserve">the date of application of Regulation (EU) […] </w:t>
      </w:r>
      <w:r w:rsidRPr="006B3F48">
        <w:rPr>
          <w:rFonts w:eastAsia="Arial Unicode MS"/>
          <w:noProof/>
          <w:color w:val="000000" w:themeColor="text1"/>
        </w:rPr>
        <w:t>establishing the European Fund for economic, social and territorial cohesion, agriculture and rural, fisheries and maritime, prosperity and security</w:t>
      </w:r>
      <w:r w:rsidRPr="006B3F48">
        <w:rPr>
          <w:noProof/>
          <w:szCs w:val="24"/>
          <w:lang w:val="en-US"/>
        </w:rPr>
        <w:t xml:space="preserve"> for the period 2028-2034</w:t>
      </w:r>
      <w:r w:rsidRPr="006B3F48">
        <w:rPr>
          <w:noProof/>
        </w:rPr>
        <w:t>.</w:t>
      </w:r>
    </w:p>
    <w:p w14:paraId="73B9BEF1" w14:textId="77777777" w:rsidR="006C298A" w:rsidRPr="005A598E" w:rsidRDefault="006C298A" w:rsidP="009C5035">
      <w:pPr>
        <w:pStyle w:val="Applicationdirecte"/>
        <w:spacing w:before="120"/>
        <w:rPr>
          <w:noProof/>
          <w:szCs w:val="24"/>
        </w:rPr>
      </w:pPr>
      <w:r w:rsidRPr="006B3F48">
        <w:rPr>
          <w:noProof/>
        </w:rPr>
        <w:t>This Regulation shall be binding in its entirety and directly applicable in the</w:t>
      </w:r>
      <w:r w:rsidRPr="005A598E">
        <w:rPr>
          <w:noProof/>
        </w:rPr>
        <w:t xml:space="preserve"> Member States in accordance with the Treaties.</w:t>
      </w:r>
    </w:p>
    <w:p w14:paraId="37DF1059" w14:textId="77777777" w:rsidR="006C298A" w:rsidRPr="005A598E" w:rsidRDefault="006C298A" w:rsidP="009C5035">
      <w:pPr>
        <w:pStyle w:val="Fait"/>
        <w:rPr>
          <w:noProof/>
        </w:rPr>
      </w:pPr>
      <w:r>
        <w:rPr>
          <w:noProof/>
        </w:rPr>
        <w:t>Done at Brussels,</w:t>
      </w:r>
    </w:p>
    <w:p w14:paraId="0382F649" w14:textId="77777777" w:rsidR="006C298A" w:rsidRDefault="006C298A" w:rsidP="009C5035">
      <w:pPr>
        <w:pStyle w:val="Institutionquisigne"/>
        <w:rPr>
          <w:noProof/>
        </w:rPr>
      </w:pPr>
      <w:r w:rsidRPr="00567291">
        <w:rPr>
          <w:noProof/>
        </w:rPr>
        <w:t>For the European Parliament</w:t>
      </w:r>
      <w:r w:rsidRPr="00567291">
        <w:rPr>
          <w:noProof/>
        </w:rPr>
        <w:tab/>
        <w:t>For the Council</w:t>
      </w:r>
    </w:p>
    <w:p w14:paraId="522EFABA" w14:textId="77777777" w:rsidR="006C298A" w:rsidRDefault="006C298A" w:rsidP="009C5035">
      <w:pPr>
        <w:pStyle w:val="Personnequisigne"/>
        <w:rPr>
          <w:noProof/>
        </w:rPr>
      </w:pPr>
      <w:r w:rsidRPr="00567291">
        <w:rPr>
          <w:noProof/>
        </w:rPr>
        <w:t>The President</w:t>
      </w:r>
      <w:r w:rsidRPr="00567291">
        <w:rPr>
          <w:noProof/>
        </w:rPr>
        <w:tab/>
        <w:t>The President</w:t>
      </w:r>
    </w:p>
    <w:p w14:paraId="6F5591DA" w14:textId="77777777" w:rsidR="006C298A" w:rsidRDefault="006C298A" w:rsidP="007C3E3D"/>
    <w:p w14:paraId="40C941B2" w14:textId="77777777" w:rsidR="006C298A" w:rsidRPr="007C3E3D" w:rsidRDefault="006C298A" w:rsidP="007C3E3D">
      <w:pPr>
        <w:pStyle w:val="FinalLine"/>
      </w:pPr>
    </w:p>
    <w:sectPr w:rsidR="009C5035" w:rsidRPr="007C3E3D" w:rsidSect="007C3E3D">
      <w:headerReference w:type="even" r:id="rId24"/>
      <w:footerReference w:type="even" r:id="rId25"/>
      <w:headerReference w:type="first" r:id="rId26"/>
      <w:footerReference w:type="first" r:id="rId27"/>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ED21" w14:textId="77777777" w:rsidR="00144FF1" w:rsidRDefault="00144FF1" w:rsidP="00A43C50">
      <w:r>
        <w:separator/>
      </w:r>
    </w:p>
  </w:endnote>
  <w:endnote w:type="continuationSeparator" w:id="0">
    <w:p w14:paraId="3FB972DA" w14:textId="77777777" w:rsidR="00144FF1" w:rsidRDefault="00144FF1" w:rsidP="00A4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ew Roman">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73C8" w14:textId="77777777" w:rsidR="006C298A" w:rsidRPr="007C3E3D" w:rsidRDefault="006C298A" w:rsidP="007C3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F54B2" w:rsidRPr="00D94637" w14:paraId="7A84B090" w14:textId="77777777" w:rsidTr="00D94637">
      <w:trPr>
        <w:jc w:val="center"/>
      </w:trPr>
      <w:tc>
        <w:tcPr>
          <w:tcW w:w="5000" w:type="pct"/>
          <w:gridSpan w:val="7"/>
          <w:tcMar>
            <w:top w:w="57" w:type="dxa"/>
          </w:tcMar>
        </w:tcPr>
        <w:p w14:paraId="241CA8CE" w14:textId="77777777" w:rsidR="006C298A" w:rsidRPr="00D94637" w:rsidRDefault="006C298A" w:rsidP="00D94637">
          <w:pPr>
            <w:pStyle w:val="FooterText"/>
            <w:pBdr>
              <w:top w:val="single" w:sz="4" w:space="1" w:color="auto"/>
            </w:pBdr>
            <w:spacing w:before="200"/>
            <w:rPr>
              <w:sz w:val="2"/>
              <w:szCs w:val="2"/>
            </w:rPr>
          </w:pPr>
        </w:p>
      </w:tc>
    </w:tr>
    <w:tr w:rsidR="004F54B2" w:rsidRPr="00B310DC" w14:paraId="5FC1807B" w14:textId="77777777" w:rsidTr="00842D7E">
      <w:trPr>
        <w:jc w:val="center"/>
      </w:trPr>
      <w:tc>
        <w:tcPr>
          <w:tcW w:w="2500" w:type="pct"/>
          <w:gridSpan w:val="2"/>
          <w:tcMar>
            <w:top w:w="0" w:type="dxa"/>
          </w:tcMar>
        </w:tcPr>
        <w:p w14:paraId="4F767A53" w14:textId="77777777" w:rsidR="006C298A" w:rsidRPr="00AD7BF2" w:rsidRDefault="006C298A" w:rsidP="004F54B2">
          <w:pPr>
            <w:pStyle w:val="FooterText"/>
          </w:pPr>
          <w:r>
            <w:t>11988</w:t>
          </w:r>
          <w:r>
            <w:t>/</w:t>
          </w:r>
          <w:r>
            <w:t>25</w:t>
          </w:r>
          <w:r w:rsidRPr="002511D8">
            <w:t xml:space="preserve"> </w:t>
          </w:r>
        </w:p>
      </w:tc>
      <w:tc>
        <w:tcPr>
          <w:tcW w:w="625" w:type="pct"/>
          <w:tcMar>
            <w:top w:w="0" w:type="dxa"/>
          </w:tcMar>
        </w:tcPr>
        <w:p w14:paraId="0F3F9F4B" w14:textId="77777777" w:rsidR="006C298A" w:rsidRPr="00AD7BF2" w:rsidRDefault="006C298A" w:rsidP="00D94637">
          <w:pPr>
            <w:pStyle w:val="FooterText"/>
            <w:jc w:val="center"/>
          </w:pPr>
        </w:p>
      </w:tc>
      <w:tc>
        <w:tcPr>
          <w:tcW w:w="1286" w:type="pct"/>
          <w:gridSpan w:val="3"/>
          <w:tcMar>
            <w:top w:w="0" w:type="dxa"/>
          </w:tcMar>
        </w:tcPr>
        <w:p w14:paraId="16CEAB42" w14:textId="77777777" w:rsidR="006C298A" w:rsidRPr="002511D8" w:rsidRDefault="006C298A" w:rsidP="00D94637">
          <w:pPr>
            <w:pStyle w:val="FooterText"/>
            <w:jc w:val="center"/>
          </w:pPr>
        </w:p>
      </w:tc>
      <w:tc>
        <w:tcPr>
          <w:tcW w:w="589" w:type="pct"/>
          <w:tcMar>
            <w:top w:w="0" w:type="dxa"/>
          </w:tcMar>
        </w:tcPr>
        <w:p w14:paraId="118CC07F" w14:textId="77777777" w:rsidR="006C298A" w:rsidRPr="00B310DC" w:rsidRDefault="006C298A"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4F54B2" w:rsidRPr="00D94637" w14:paraId="5DEFAE45" w14:textId="77777777" w:rsidTr="00430704">
      <w:trPr>
        <w:jc w:val="center"/>
      </w:trPr>
      <w:tc>
        <w:tcPr>
          <w:tcW w:w="1774" w:type="pct"/>
        </w:tcPr>
        <w:p w14:paraId="1D6ADF4E" w14:textId="77777777" w:rsidR="006C298A" w:rsidRPr="00AD7BF2" w:rsidRDefault="006C298A" w:rsidP="00D94637">
          <w:pPr>
            <w:pStyle w:val="FooterText"/>
            <w:spacing w:before="40"/>
          </w:pPr>
        </w:p>
      </w:tc>
      <w:tc>
        <w:tcPr>
          <w:tcW w:w="1455" w:type="pct"/>
          <w:gridSpan w:val="3"/>
        </w:tcPr>
        <w:p w14:paraId="2805670A" w14:textId="77777777" w:rsidR="006C298A" w:rsidRPr="00AD7BF2" w:rsidRDefault="006C298A" w:rsidP="00D204D6">
          <w:pPr>
            <w:pStyle w:val="FooterText"/>
            <w:spacing w:before="40"/>
            <w:jc w:val="center"/>
          </w:pPr>
        </w:p>
      </w:tc>
      <w:tc>
        <w:tcPr>
          <w:tcW w:w="742" w:type="pct"/>
        </w:tcPr>
        <w:p w14:paraId="724EAAD8" w14:textId="77777777" w:rsidR="006C298A" w:rsidRPr="00D94637" w:rsidRDefault="006C298A" w:rsidP="002F0099">
          <w:pPr>
            <w:pStyle w:val="FooterText"/>
            <w:jc w:val="center"/>
            <w:rPr>
              <w:b/>
              <w:position w:val="-4"/>
              <w:sz w:val="36"/>
            </w:rPr>
          </w:pPr>
          <w:r>
            <w:rPr>
              <w:b/>
              <w:position w:val="-4"/>
              <w:sz w:val="36"/>
            </w:rPr>
            <w:t>LIMITE</w:t>
          </w:r>
        </w:p>
      </w:tc>
      <w:tc>
        <w:tcPr>
          <w:tcW w:w="1029" w:type="pct"/>
          <w:gridSpan w:val="2"/>
        </w:tcPr>
        <w:p w14:paraId="4EFD13DC" w14:textId="77777777" w:rsidR="006C298A" w:rsidRPr="00695BAF" w:rsidRDefault="006C298A" w:rsidP="00D94637">
          <w:pPr>
            <w:pStyle w:val="FooterText"/>
            <w:jc w:val="right"/>
            <w:rPr>
              <w:caps/>
              <w:spacing w:val="-20"/>
              <w:sz w:val="16"/>
            </w:rPr>
          </w:pPr>
          <w:r>
            <w:rPr>
              <w:b/>
              <w:caps/>
              <w:spacing w:val="-20"/>
              <w:position w:val="-4"/>
              <w:sz w:val="36"/>
            </w:rPr>
            <w:t>EN</w:t>
          </w:r>
        </w:p>
      </w:tc>
    </w:tr>
  </w:tbl>
  <w:p w14:paraId="4EFD749E" w14:textId="77777777" w:rsidR="00D77265" w:rsidRDefault="00D77265">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F54B2" w:rsidRPr="00D94637" w14:paraId="30506DAA" w14:textId="77777777" w:rsidTr="00D94637">
      <w:trPr>
        <w:jc w:val="center"/>
      </w:trPr>
      <w:tc>
        <w:tcPr>
          <w:tcW w:w="5000" w:type="pct"/>
          <w:gridSpan w:val="7"/>
          <w:tcMar>
            <w:top w:w="57" w:type="dxa"/>
          </w:tcMar>
        </w:tcPr>
        <w:p w14:paraId="5F969EA1" w14:textId="77777777" w:rsidR="006C298A" w:rsidRPr="00D94637" w:rsidRDefault="006C298A" w:rsidP="00D94637">
          <w:pPr>
            <w:pStyle w:val="FooterText"/>
            <w:pBdr>
              <w:top w:val="single" w:sz="4" w:space="1" w:color="auto"/>
            </w:pBdr>
            <w:spacing w:before="200"/>
            <w:rPr>
              <w:sz w:val="2"/>
              <w:szCs w:val="2"/>
            </w:rPr>
          </w:pPr>
        </w:p>
      </w:tc>
    </w:tr>
    <w:tr w:rsidR="004F54B2" w:rsidRPr="00B310DC" w14:paraId="42B5581E" w14:textId="77777777" w:rsidTr="00842D7E">
      <w:trPr>
        <w:jc w:val="center"/>
      </w:trPr>
      <w:tc>
        <w:tcPr>
          <w:tcW w:w="2500" w:type="pct"/>
          <w:gridSpan w:val="2"/>
          <w:tcMar>
            <w:top w:w="0" w:type="dxa"/>
          </w:tcMar>
        </w:tcPr>
        <w:p w14:paraId="188BF12C" w14:textId="77777777" w:rsidR="006C298A" w:rsidRPr="00AD7BF2" w:rsidRDefault="006C298A" w:rsidP="004F54B2">
          <w:pPr>
            <w:pStyle w:val="FooterText"/>
          </w:pPr>
          <w:r>
            <w:t>11988</w:t>
          </w:r>
          <w:r>
            <w:t>/</w:t>
          </w:r>
          <w:r>
            <w:t>25</w:t>
          </w:r>
          <w:r w:rsidRPr="002511D8">
            <w:t xml:space="preserve"> </w:t>
          </w:r>
        </w:p>
      </w:tc>
      <w:tc>
        <w:tcPr>
          <w:tcW w:w="625" w:type="pct"/>
          <w:tcMar>
            <w:top w:w="0" w:type="dxa"/>
          </w:tcMar>
        </w:tcPr>
        <w:p w14:paraId="4BAFD35D" w14:textId="77777777" w:rsidR="006C298A" w:rsidRPr="00AD7BF2" w:rsidRDefault="006C298A" w:rsidP="00D94637">
          <w:pPr>
            <w:pStyle w:val="FooterText"/>
            <w:jc w:val="center"/>
          </w:pPr>
        </w:p>
      </w:tc>
      <w:tc>
        <w:tcPr>
          <w:tcW w:w="1286" w:type="pct"/>
          <w:gridSpan w:val="3"/>
          <w:tcMar>
            <w:top w:w="0" w:type="dxa"/>
          </w:tcMar>
        </w:tcPr>
        <w:p w14:paraId="334C8156" w14:textId="77777777" w:rsidR="006C298A" w:rsidRPr="002511D8" w:rsidRDefault="006C298A" w:rsidP="00D94637">
          <w:pPr>
            <w:pStyle w:val="FooterText"/>
            <w:jc w:val="center"/>
          </w:pPr>
        </w:p>
      </w:tc>
      <w:tc>
        <w:tcPr>
          <w:tcW w:w="589" w:type="pct"/>
          <w:tcMar>
            <w:top w:w="0" w:type="dxa"/>
          </w:tcMar>
        </w:tcPr>
        <w:p w14:paraId="190A7EF6" w14:textId="77777777" w:rsidR="006C298A" w:rsidRPr="00B310DC" w:rsidRDefault="006C298A"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4F54B2" w:rsidRPr="00D94637" w14:paraId="78A14C40" w14:textId="77777777" w:rsidTr="00430704">
      <w:trPr>
        <w:jc w:val="center"/>
      </w:trPr>
      <w:tc>
        <w:tcPr>
          <w:tcW w:w="1774" w:type="pct"/>
        </w:tcPr>
        <w:p w14:paraId="42024BF1" w14:textId="77777777" w:rsidR="006C298A" w:rsidRPr="00AD7BF2" w:rsidRDefault="006C298A" w:rsidP="00D94637">
          <w:pPr>
            <w:pStyle w:val="FooterText"/>
            <w:spacing w:before="40"/>
          </w:pPr>
        </w:p>
      </w:tc>
      <w:tc>
        <w:tcPr>
          <w:tcW w:w="1455" w:type="pct"/>
          <w:gridSpan w:val="3"/>
        </w:tcPr>
        <w:p w14:paraId="6D283C9B" w14:textId="77777777" w:rsidR="006C298A" w:rsidRPr="00AD7BF2" w:rsidRDefault="006C298A" w:rsidP="00D204D6">
          <w:pPr>
            <w:pStyle w:val="FooterText"/>
            <w:spacing w:before="40"/>
            <w:jc w:val="center"/>
          </w:pPr>
        </w:p>
      </w:tc>
      <w:tc>
        <w:tcPr>
          <w:tcW w:w="742" w:type="pct"/>
        </w:tcPr>
        <w:p w14:paraId="3BAA0144" w14:textId="77777777" w:rsidR="006C298A" w:rsidRPr="00D94637" w:rsidRDefault="006C298A" w:rsidP="002F0099">
          <w:pPr>
            <w:pStyle w:val="FooterText"/>
            <w:jc w:val="center"/>
            <w:rPr>
              <w:b/>
              <w:position w:val="-4"/>
              <w:sz w:val="36"/>
            </w:rPr>
          </w:pPr>
          <w:r>
            <w:rPr>
              <w:b/>
              <w:position w:val="-4"/>
              <w:sz w:val="36"/>
            </w:rPr>
            <w:t>LIMITE</w:t>
          </w:r>
        </w:p>
      </w:tc>
      <w:tc>
        <w:tcPr>
          <w:tcW w:w="1029" w:type="pct"/>
          <w:gridSpan w:val="2"/>
        </w:tcPr>
        <w:p w14:paraId="03FF6A65" w14:textId="77777777" w:rsidR="006C298A" w:rsidRPr="00695BAF" w:rsidRDefault="006C298A" w:rsidP="00D94637">
          <w:pPr>
            <w:pStyle w:val="FooterText"/>
            <w:jc w:val="right"/>
            <w:rPr>
              <w:caps/>
              <w:spacing w:val="-20"/>
              <w:sz w:val="16"/>
            </w:rPr>
          </w:pPr>
          <w:r>
            <w:rPr>
              <w:b/>
              <w:caps/>
              <w:spacing w:val="-20"/>
              <w:position w:val="-4"/>
              <w:sz w:val="36"/>
            </w:rPr>
            <w:t>EN</w:t>
          </w:r>
        </w:p>
      </w:tc>
    </w:tr>
  </w:tbl>
  <w:p w14:paraId="5EF72FDB" w14:textId="77777777" w:rsidR="00D77265" w:rsidRDefault="00D77265">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8A25" w14:textId="77777777" w:rsidR="006C298A" w:rsidRPr="00126F40" w:rsidRDefault="006C298A" w:rsidP="00126F40">
    <w:pPr>
      <w:pStyle w:val="Footer"/>
      <w:rPr>
        <w:rFonts w:ascii="Arial" w:hAnsi="Arial" w:cs="Arial"/>
        <w:b/>
        <w:sz w:val="48"/>
      </w:rPr>
    </w:pPr>
    <w:r w:rsidRPr="00126F40">
      <w:rPr>
        <w:rFonts w:ascii="Arial" w:hAnsi="Arial" w:cs="Arial"/>
        <w:b/>
        <w:sz w:val="48"/>
      </w:rPr>
      <w:t>EN</w:t>
    </w:r>
    <w:r w:rsidRPr="00126F40">
      <w:rPr>
        <w:rFonts w:ascii="Arial" w:hAnsi="Arial" w:cs="Arial"/>
        <w:b/>
        <w:sz w:val="48"/>
      </w:rPr>
      <w:tab/>
    </w:r>
    <w:r w:rsidRPr="00126F40">
      <w:rPr>
        <w:rFonts w:ascii="Arial" w:hAnsi="Arial" w:cs="Arial"/>
        <w:b/>
        <w:sz w:val="48"/>
      </w:rPr>
      <w:tab/>
    </w:r>
    <w:r w:rsidRPr="00126F40">
      <w:tab/>
    </w:r>
    <w:proofErr w:type="spellStart"/>
    <w:r w:rsidRPr="00126F40">
      <w:rPr>
        <w:rFonts w:ascii="Arial" w:hAnsi="Arial" w:cs="Arial"/>
        <w:b/>
        <w:sz w:val="48"/>
      </w:rPr>
      <w:t>EN</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F54B2" w:rsidRPr="00D94637" w14:paraId="56CE337F" w14:textId="77777777" w:rsidTr="00D94637">
      <w:trPr>
        <w:jc w:val="center"/>
      </w:trPr>
      <w:tc>
        <w:tcPr>
          <w:tcW w:w="5000" w:type="pct"/>
          <w:gridSpan w:val="7"/>
          <w:tcMar>
            <w:top w:w="57" w:type="dxa"/>
          </w:tcMar>
        </w:tcPr>
        <w:p w14:paraId="522B00E5" w14:textId="77777777" w:rsidR="006C298A" w:rsidRPr="00D94637" w:rsidRDefault="006C298A" w:rsidP="00D94637">
          <w:pPr>
            <w:pStyle w:val="FooterText"/>
            <w:pBdr>
              <w:top w:val="single" w:sz="4" w:space="1" w:color="auto"/>
            </w:pBdr>
            <w:spacing w:before="200"/>
            <w:rPr>
              <w:sz w:val="2"/>
              <w:szCs w:val="2"/>
            </w:rPr>
          </w:pPr>
          <w:bookmarkStart w:id="1" w:name="FOOTER_STANDARD"/>
        </w:p>
      </w:tc>
    </w:tr>
    <w:tr w:rsidR="004F54B2" w:rsidRPr="00B310DC" w14:paraId="5E6733D6" w14:textId="77777777" w:rsidTr="00842D7E">
      <w:trPr>
        <w:jc w:val="center"/>
      </w:trPr>
      <w:tc>
        <w:tcPr>
          <w:tcW w:w="2500" w:type="pct"/>
          <w:gridSpan w:val="2"/>
          <w:tcMar>
            <w:top w:w="0" w:type="dxa"/>
          </w:tcMar>
        </w:tcPr>
        <w:p w14:paraId="3F9A74F7" w14:textId="77777777" w:rsidR="006C298A" w:rsidRPr="00AD7BF2" w:rsidRDefault="006C298A" w:rsidP="004F54B2">
          <w:pPr>
            <w:pStyle w:val="FooterText"/>
          </w:pPr>
          <w:r>
            <w:t>11988</w:t>
          </w:r>
          <w:r>
            <w:t>/</w:t>
          </w:r>
          <w:r>
            <w:t>25</w:t>
          </w:r>
          <w:r w:rsidRPr="002511D8">
            <w:t xml:space="preserve"> </w:t>
          </w:r>
        </w:p>
      </w:tc>
      <w:tc>
        <w:tcPr>
          <w:tcW w:w="625" w:type="pct"/>
          <w:tcMar>
            <w:top w:w="0" w:type="dxa"/>
          </w:tcMar>
        </w:tcPr>
        <w:p w14:paraId="2385FBCD" w14:textId="77777777" w:rsidR="006C298A" w:rsidRPr="00AD7BF2" w:rsidRDefault="006C298A" w:rsidP="00D94637">
          <w:pPr>
            <w:pStyle w:val="FooterText"/>
            <w:jc w:val="center"/>
          </w:pPr>
        </w:p>
      </w:tc>
      <w:tc>
        <w:tcPr>
          <w:tcW w:w="1286" w:type="pct"/>
          <w:gridSpan w:val="3"/>
          <w:tcMar>
            <w:top w:w="0" w:type="dxa"/>
          </w:tcMar>
        </w:tcPr>
        <w:p w14:paraId="6619B9AB" w14:textId="77777777" w:rsidR="006C298A" w:rsidRPr="002511D8" w:rsidRDefault="006C298A" w:rsidP="00D94637">
          <w:pPr>
            <w:pStyle w:val="FooterText"/>
            <w:jc w:val="center"/>
          </w:pPr>
        </w:p>
      </w:tc>
      <w:tc>
        <w:tcPr>
          <w:tcW w:w="589" w:type="pct"/>
          <w:tcMar>
            <w:top w:w="0" w:type="dxa"/>
          </w:tcMar>
        </w:tcPr>
        <w:p w14:paraId="03F4B8EE" w14:textId="77777777" w:rsidR="006C298A" w:rsidRPr="00B310DC" w:rsidRDefault="006C298A"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4F54B2" w:rsidRPr="00D94637" w14:paraId="3C75D2D0" w14:textId="77777777" w:rsidTr="00430704">
      <w:trPr>
        <w:jc w:val="center"/>
      </w:trPr>
      <w:tc>
        <w:tcPr>
          <w:tcW w:w="1774" w:type="pct"/>
        </w:tcPr>
        <w:p w14:paraId="383C8D7B" w14:textId="77777777" w:rsidR="006C298A" w:rsidRPr="00AD7BF2" w:rsidRDefault="006C298A" w:rsidP="00D94637">
          <w:pPr>
            <w:pStyle w:val="FooterText"/>
            <w:spacing w:before="40"/>
          </w:pPr>
          <w:r>
            <w:t>ANNEX</w:t>
          </w:r>
        </w:p>
      </w:tc>
      <w:tc>
        <w:tcPr>
          <w:tcW w:w="1455" w:type="pct"/>
          <w:gridSpan w:val="3"/>
        </w:tcPr>
        <w:p w14:paraId="060C8160" w14:textId="77777777" w:rsidR="006C298A" w:rsidRPr="00AD7BF2" w:rsidRDefault="006C298A" w:rsidP="00D204D6">
          <w:pPr>
            <w:pStyle w:val="FooterText"/>
            <w:spacing w:before="40"/>
            <w:jc w:val="center"/>
          </w:pPr>
        </w:p>
      </w:tc>
      <w:tc>
        <w:tcPr>
          <w:tcW w:w="742" w:type="pct"/>
        </w:tcPr>
        <w:p w14:paraId="28CC039D" w14:textId="77777777" w:rsidR="006C298A" w:rsidRPr="00D94637" w:rsidRDefault="006C298A" w:rsidP="002F0099">
          <w:pPr>
            <w:pStyle w:val="FooterText"/>
            <w:jc w:val="center"/>
            <w:rPr>
              <w:b/>
              <w:position w:val="-4"/>
              <w:sz w:val="36"/>
            </w:rPr>
          </w:pPr>
          <w:r>
            <w:rPr>
              <w:b/>
              <w:position w:val="-4"/>
              <w:sz w:val="36"/>
            </w:rPr>
            <w:t>LIMITE</w:t>
          </w:r>
        </w:p>
      </w:tc>
      <w:tc>
        <w:tcPr>
          <w:tcW w:w="1029" w:type="pct"/>
          <w:gridSpan w:val="2"/>
        </w:tcPr>
        <w:p w14:paraId="35B3594E" w14:textId="77777777" w:rsidR="006C298A" w:rsidRPr="00695BAF" w:rsidRDefault="006C298A" w:rsidP="00D94637">
          <w:pPr>
            <w:pStyle w:val="FooterText"/>
            <w:jc w:val="right"/>
            <w:rPr>
              <w:caps/>
              <w:spacing w:val="-20"/>
              <w:sz w:val="16"/>
            </w:rPr>
          </w:pPr>
          <w:r>
            <w:rPr>
              <w:b/>
              <w:caps/>
              <w:spacing w:val="-20"/>
              <w:position w:val="-4"/>
              <w:sz w:val="36"/>
            </w:rPr>
            <w:t>EN</w:t>
          </w:r>
        </w:p>
      </w:tc>
    </w:tr>
    <w:bookmarkEnd w:id="1"/>
  </w:tbl>
  <w:p w14:paraId="0F25485D" w14:textId="77777777" w:rsidR="00D77265" w:rsidRDefault="00D77265">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F54B2" w:rsidRPr="00D94637" w14:paraId="52AB8A27" w14:textId="77777777" w:rsidTr="00D94637">
      <w:trPr>
        <w:jc w:val="center"/>
      </w:trPr>
      <w:tc>
        <w:tcPr>
          <w:tcW w:w="5000" w:type="pct"/>
          <w:gridSpan w:val="7"/>
          <w:tcMar>
            <w:top w:w="57" w:type="dxa"/>
          </w:tcMar>
        </w:tcPr>
        <w:p w14:paraId="5A0D7E1A" w14:textId="77777777" w:rsidR="006C298A" w:rsidRPr="00D94637" w:rsidRDefault="006C298A" w:rsidP="00D94637">
          <w:pPr>
            <w:pStyle w:val="FooterText"/>
            <w:pBdr>
              <w:top w:val="single" w:sz="4" w:space="1" w:color="auto"/>
            </w:pBdr>
            <w:spacing w:before="200"/>
            <w:rPr>
              <w:sz w:val="2"/>
              <w:szCs w:val="2"/>
            </w:rPr>
          </w:pPr>
        </w:p>
      </w:tc>
    </w:tr>
    <w:tr w:rsidR="004F54B2" w:rsidRPr="00B310DC" w14:paraId="5E9CF281" w14:textId="77777777" w:rsidTr="00842D7E">
      <w:trPr>
        <w:jc w:val="center"/>
      </w:trPr>
      <w:tc>
        <w:tcPr>
          <w:tcW w:w="2500" w:type="pct"/>
          <w:gridSpan w:val="2"/>
          <w:tcMar>
            <w:top w:w="0" w:type="dxa"/>
          </w:tcMar>
        </w:tcPr>
        <w:p w14:paraId="19DFEACA" w14:textId="77777777" w:rsidR="006C298A" w:rsidRPr="00AD7BF2" w:rsidRDefault="006C298A" w:rsidP="004F54B2">
          <w:pPr>
            <w:pStyle w:val="FooterText"/>
          </w:pPr>
          <w:r>
            <w:t>11988/25</w:t>
          </w:r>
          <w:r w:rsidRPr="002511D8">
            <w:t xml:space="preserve"> </w:t>
          </w:r>
        </w:p>
      </w:tc>
      <w:tc>
        <w:tcPr>
          <w:tcW w:w="625" w:type="pct"/>
          <w:tcMar>
            <w:top w:w="0" w:type="dxa"/>
          </w:tcMar>
        </w:tcPr>
        <w:p w14:paraId="3E3EFB15" w14:textId="77777777" w:rsidR="006C298A" w:rsidRPr="00AD7BF2" w:rsidRDefault="006C298A" w:rsidP="00D94637">
          <w:pPr>
            <w:pStyle w:val="FooterText"/>
            <w:jc w:val="center"/>
          </w:pPr>
        </w:p>
      </w:tc>
      <w:tc>
        <w:tcPr>
          <w:tcW w:w="1286" w:type="pct"/>
          <w:gridSpan w:val="3"/>
          <w:tcMar>
            <w:top w:w="0" w:type="dxa"/>
          </w:tcMar>
        </w:tcPr>
        <w:p w14:paraId="11333B35" w14:textId="77777777" w:rsidR="006C298A" w:rsidRPr="002511D8" w:rsidRDefault="006C298A" w:rsidP="00D94637">
          <w:pPr>
            <w:pStyle w:val="FooterText"/>
            <w:jc w:val="center"/>
          </w:pPr>
        </w:p>
      </w:tc>
      <w:tc>
        <w:tcPr>
          <w:tcW w:w="589" w:type="pct"/>
          <w:tcMar>
            <w:top w:w="0" w:type="dxa"/>
          </w:tcMar>
        </w:tcPr>
        <w:p w14:paraId="75732D47" w14:textId="77777777" w:rsidR="006C298A" w:rsidRPr="00B310DC" w:rsidRDefault="006C298A"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4F54B2" w:rsidRPr="00D94637" w14:paraId="6186917D" w14:textId="77777777" w:rsidTr="00430704">
      <w:trPr>
        <w:jc w:val="center"/>
      </w:trPr>
      <w:tc>
        <w:tcPr>
          <w:tcW w:w="1774" w:type="pct"/>
        </w:tcPr>
        <w:p w14:paraId="4610267D" w14:textId="77777777" w:rsidR="006C298A" w:rsidRPr="00AD7BF2" w:rsidRDefault="006C298A" w:rsidP="00D94637">
          <w:pPr>
            <w:pStyle w:val="FooterText"/>
            <w:spacing w:before="40"/>
          </w:pPr>
        </w:p>
      </w:tc>
      <w:tc>
        <w:tcPr>
          <w:tcW w:w="1455" w:type="pct"/>
          <w:gridSpan w:val="3"/>
        </w:tcPr>
        <w:p w14:paraId="74A16B43" w14:textId="77777777" w:rsidR="006C298A" w:rsidRPr="00AD7BF2" w:rsidRDefault="006C298A" w:rsidP="00D204D6">
          <w:pPr>
            <w:pStyle w:val="FooterText"/>
            <w:spacing w:before="40"/>
            <w:jc w:val="center"/>
          </w:pPr>
        </w:p>
      </w:tc>
      <w:tc>
        <w:tcPr>
          <w:tcW w:w="742" w:type="pct"/>
        </w:tcPr>
        <w:p w14:paraId="6F9CF215" w14:textId="77777777" w:rsidR="006C298A" w:rsidRPr="00D94637" w:rsidRDefault="006C298A" w:rsidP="002F0099">
          <w:pPr>
            <w:pStyle w:val="FooterText"/>
            <w:jc w:val="center"/>
            <w:rPr>
              <w:b/>
              <w:position w:val="-4"/>
              <w:sz w:val="36"/>
            </w:rPr>
          </w:pPr>
          <w:r>
            <w:rPr>
              <w:b/>
              <w:position w:val="-4"/>
              <w:sz w:val="36"/>
            </w:rPr>
            <w:t>LIMITE</w:t>
          </w:r>
        </w:p>
      </w:tc>
      <w:tc>
        <w:tcPr>
          <w:tcW w:w="1029" w:type="pct"/>
          <w:gridSpan w:val="2"/>
        </w:tcPr>
        <w:p w14:paraId="72FFFC7F" w14:textId="77777777" w:rsidR="006C298A" w:rsidRPr="00695BAF" w:rsidRDefault="006C298A" w:rsidP="00D94637">
          <w:pPr>
            <w:pStyle w:val="FooterText"/>
            <w:jc w:val="right"/>
            <w:rPr>
              <w:caps/>
              <w:spacing w:val="-20"/>
              <w:sz w:val="16"/>
            </w:rPr>
          </w:pPr>
          <w:r>
            <w:rPr>
              <w:b/>
              <w:caps/>
              <w:spacing w:val="-20"/>
              <w:position w:val="-4"/>
              <w:sz w:val="36"/>
            </w:rPr>
            <w:t>EN</w:t>
          </w:r>
        </w:p>
      </w:tc>
    </w:tr>
  </w:tbl>
  <w:p w14:paraId="02886445" w14:textId="77777777" w:rsidR="006C298A" w:rsidRDefault="006C298A">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8EC5" w14:textId="77777777" w:rsidR="006C298A" w:rsidRPr="007C3E3D" w:rsidRDefault="006C298A" w:rsidP="007C3E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7C3E3D" w:rsidRPr="00D94637" w14:paraId="4C6BBD2E" w14:textId="77777777" w:rsidTr="007C3E3D">
      <w:trPr>
        <w:jc w:val="center"/>
      </w:trPr>
      <w:tc>
        <w:tcPr>
          <w:tcW w:w="5000" w:type="pct"/>
          <w:gridSpan w:val="7"/>
          <w:tcMar>
            <w:top w:w="57" w:type="dxa"/>
          </w:tcMar>
        </w:tcPr>
        <w:p w14:paraId="4D44332A" w14:textId="77777777" w:rsidR="006C298A" w:rsidRPr="00D94637" w:rsidRDefault="006C298A" w:rsidP="00D94637">
          <w:pPr>
            <w:pStyle w:val="FooterText"/>
            <w:pBdr>
              <w:top w:val="single" w:sz="4" w:space="1" w:color="auto"/>
            </w:pBdr>
            <w:spacing w:before="200"/>
            <w:rPr>
              <w:sz w:val="2"/>
              <w:szCs w:val="2"/>
            </w:rPr>
          </w:pPr>
        </w:p>
      </w:tc>
    </w:tr>
    <w:tr w:rsidR="007C3E3D" w:rsidRPr="00B310DC" w14:paraId="7C7E3AD0" w14:textId="77777777" w:rsidTr="007C3E3D">
      <w:trPr>
        <w:jc w:val="center"/>
      </w:trPr>
      <w:tc>
        <w:tcPr>
          <w:tcW w:w="2500" w:type="pct"/>
          <w:gridSpan w:val="2"/>
          <w:tcMar>
            <w:top w:w="0" w:type="dxa"/>
          </w:tcMar>
        </w:tcPr>
        <w:p w14:paraId="5C456F44" w14:textId="77777777" w:rsidR="006C298A" w:rsidRPr="00AD7BF2" w:rsidRDefault="006C298A" w:rsidP="004F54B2">
          <w:pPr>
            <w:pStyle w:val="FooterText"/>
          </w:pPr>
          <w:r>
            <w:t>11988/25</w:t>
          </w:r>
          <w:r w:rsidRPr="002511D8">
            <w:t xml:space="preserve"> </w:t>
          </w:r>
        </w:p>
      </w:tc>
      <w:tc>
        <w:tcPr>
          <w:tcW w:w="625" w:type="pct"/>
          <w:tcMar>
            <w:top w:w="0" w:type="dxa"/>
          </w:tcMar>
        </w:tcPr>
        <w:p w14:paraId="6ECA7092" w14:textId="77777777" w:rsidR="006C298A" w:rsidRPr="00AD7BF2" w:rsidRDefault="006C298A" w:rsidP="00D94637">
          <w:pPr>
            <w:pStyle w:val="FooterText"/>
            <w:jc w:val="center"/>
          </w:pPr>
        </w:p>
      </w:tc>
      <w:tc>
        <w:tcPr>
          <w:tcW w:w="1286" w:type="pct"/>
          <w:gridSpan w:val="3"/>
          <w:tcMar>
            <w:top w:w="0" w:type="dxa"/>
          </w:tcMar>
        </w:tcPr>
        <w:p w14:paraId="674D8E51" w14:textId="77777777" w:rsidR="006C298A" w:rsidRPr="002511D8" w:rsidRDefault="006C298A" w:rsidP="00D94637">
          <w:pPr>
            <w:pStyle w:val="FooterText"/>
            <w:jc w:val="center"/>
          </w:pPr>
        </w:p>
      </w:tc>
      <w:tc>
        <w:tcPr>
          <w:tcW w:w="589" w:type="pct"/>
          <w:tcMar>
            <w:top w:w="0" w:type="dxa"/>
          </w:tcMar>
        </w:tcPr>
        <w:p w14:paraId="2559AE3E" w14:textId="77777777" w:rsidR="006C298A" w:rsidRPr="00B310DC" w:rsidRDefault="006C298A" w:rsidP="00D94637">
          <w:pPr>
            <w:pStyle w:val="FooterText"/>
            <w:jc w:val="right"/>
          </w:pPr>
          <w:r>
            <w:fldChar w:fldCharType="begin"/>
          </w:r>
          <w:r>
            <w:instrText xml:space="preserve"> PAGE  \* MERGEFORMAT </w:instrText>
          </w:r>
          <w:r>
            <w:fldChar w:fldCharType="separate"/>
          </w:r>
          <w:r>
            <w:rPr>
              <w:noProof/>
            </w:rPr>
            <w:t>3</w:t>
          </w:r>
          <w:r>
            <w:fldChar w:fldCharType="end"/>
          </w:r>
        </w:p>
      </w:tc>
    </w:tr>
    <w:tr w:rsidR="007C3E3D" w:rsidRPr="00D94637" w14:paraId="640831B1" w14:textId="77777777" w:rsidTr="007C3E3D">
      <w:trPr>
        <w:jc w:val="center"/>
      </w:trPr>
      <w:tc>
        <w:tcPr>
          <w:tcW w:w="1774" w:type="pct"/>
        </w:tcPr>
        <w:p w14:paraId="11A349E8" w14:textId="77777777" w:rsidR="006C298A" w:rsidRPr="00AD7BF2" w:rsidRDefault="006C298A" w:rsidP="00D94637">
          <w:pPr>
            <w:pStyle w:val="FooterText"/>
            <w:spacing w:before="40"/>
          </w:pPr>
        </w:p>
      </w:tc>
      <w:tc>
        <w:tcPr>
          <w:tcW w:w="1455" w:type="pct"/>
          <w:gridSpan w:val="3"/>
        </w:tcPr>
        <w:p w14:paraId="40570500" w14:textId="77777777" w:rsidR="006C298A" w:rsidRPr="00AD7BF2" w:rsidRDefault="006C298A" w:rsidP="00D204D6">
          <w:pPr>
            <w:pStyle w:val="FooterText"/>
            <w:spacing w:before="40"/>
            <w:jc w:val="center"/>
          </w:pPr>
        </w:p>
      </w:tc>
      <w:tc>
        <w:tcPr>
          <w:tcW w:w="742" w:type="pct"/>
        </w:tcPr>
        <w:p w14:paraId="6567A1EC" w14:textId="77777777" w:rsidR="006C298A" w:rsidRPr="00D94637" w:rsidRDefault="006C298A" w:rsidP="002F0099">
          <w:pPr>
            <w:pStyle w:val="FooterText"/>
            <w:jc w:val="center"/>
            <w:rPr>
              <w:b/>
              <w:position w:val="-4"/>
              <w:sz w:val="36"/>
            </w:rPr>
          </w:pPr>
          <w:r>
            <w:rPr>
              <w:b/>
              <w:position w:val="-4"/>
              <w:sz w:val="36"/>
            </w:rPr>
            <w:t>LIMITE</w:t>
          </w:r>
        </w:p>
      </w:tc>
      <w:tc>
        <w:tcPr>
          <w:tcW w:w="1029" w:type="pct"/>
          <w:gridSpan w:val="2"/>
        </w:tcPr>
        <w:p w14:paraId="53BBBB2B" w14:textId="77777777" w:rsidR="006C298A" w:rsidRPr="00695BAF" w:rsidRDefault="006C298A" w:rsidP="00D94637">
          <w:pPr>
            <w:pStyle w:val="FooterText"/>
            <w:jc w:val="right"/>
            <w:rPr>
              <w:caps/>
              <w:spacing w:val="-20"/>
              <w:sz w:val="16"/>
            </w:rPr>
          </w:pPr>
          <w:r>
            <w:rPr>
              <w:b/>
              <w:caps/>
              <w:spacing w:val="-20"/>
              <w:position w:val="-4"/>
              <w:sz w:val="36"/>
            </w:rPr>
            <w:t>EN</w:t>
          </w:r>
        </w:p>
      </w:tc>
    </w:tr>
  </w:tbl>
  <w:p w14:paraId="296741AC" w14:textId="77777777" w:rsidR="006C298A" w:rsidRPr="007C3E3D" w:rsidRDefault="006C298A" w:rsidP="007C3E3D">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1B7C" w14:textId="77777777" w:rsidR="00144FF1" w:rsidRDefault="00144FF1" w:rsidP="00A43C50">
      <w:r>
        <w:separator/>
      </w:r>
    </w:p>
  </w:footnote>
  <w:footnote w:type="continuationSeparator" w:id="0">
    <w:p w14:paraId="3D0CB998" w14:textId="77777777" w:rsidR="00144FF1" w:rsidRDefault="00144FF1" w:rsidP="00A43C50">
      <w:r>
        <w:continuationSeparator/>
      </w:r>
    </w:p>
  </w:footnote>
  <w:footnote w:id="1">
    <w:p w14:paraId="353C1576" w14:textId="77777777" w:rsidR="006C298A" w:rsidRPr="00431333" w:rsidRDefault="006C298A" w:rsidP="009C5035">
      <w:pPr>
        <w:pStyle w:val="FootnoteText"/>
        <w:rPr>
          <w:lang w:val="en-IE"/>
        </w:rPr>
      </w:pPr>
      <w:r w:rsidRPr="00535056">
        <w:rPr>
          <w:rStyle w:val="FootnoteReference"/>
        </w:rPr>
        <w:footnoteRef/>
      </w:r>
      <w:r>
        <w:tab/>
      </w:r>
      <w:r w:rsidRPr="00431333">
        <w:rPr>
          <w:lang w:val="lv-LV"/>
        </w:rPr>
        <w:t>OJ C</w:t>
      </w:r>
      <w:r w:rsidRPr="00431333">
        <w:t xml:space="preserve"> , , p. .</w:t>
      </w:r>
    </w:p>
  </w:footnote>
  <w:footnote w:id="2">
    <w:p w14:paraId="5D10152D" w14:textId="77777777" w:rsidR="006C298A" w:rsidRPr="008B2F77" w:rsidRDefault="006C298A" w:rsidP="009C5035">
      <w:pPr>
        <w:pStyle w:val="FootnoteText"/>
        <w:rPr>
          <w:lang w:val="en-IE"/>
        </w:rPr>
      </w:pPr>
      <w:r w:rsidRPr="00535056">
        <w:rPr>
          <w:rStyle w:val="FootnoteReference"/>
        </w:rPr>
        <w:footnoteRef/>
      </w:r>
      <w:r w:rsidRPr="008B2F77">
        <w:tab/>
      </w:r>
      <w:r w:rsidRPr="008B2F77">
        <w:t xml:space="preserve">Position of the European Parliament </w:t>
      </w:r>
      <w:proofErr w:type="gramStart"/>
      <w:r w:rsidRPr="008B2F77">
        <w:t>of  and</w:t>
      </w:r>
      <w:proofErr w:type="gramEnd"/>
      <w:r w:rsidRPr="008B2F77">
        <w:t xml:space="preserve"> position of the Council </w:t>
      </w:r>
      <w:proofErr w:type="gramStart"/>
      <w:r w:rsidRPr="008B2F77">
        <w:t>of .</w:t>
      </w:r>
      <w:proofErr w:type="gramEnd"/>
    </w:p>
  </w:footnote>
  <w:footnote w:id="3">
    <w:p w14:paraId="4D0939DC" w14:textId="77777777" w:rsidR="006C298A" w:rsidRPr="002414D5" w:rsidRDefault="006C298A" w:rsidP="009C5035">
      <w:pPr>
        <w:pStyle w:val="FootnoteText"/>
        <w:rPr>
          <w:lang w:val="fi-FI"/>
        </w:rPr>
      </w:pPr>
      <w:r w:rsidRPr="00535056">
        <w:rPr>
          <w:rStyle w:val="FootnoteReference"/>
        </w:rPr>
        <w:footnoteRef/>
      </w:r>
      <w:r>
        <w:tab/>
      </w:r>
      <w:r w:rsidRPr="0085231A">
        <w:t>Regulation (EU) 2019/1896 of the European Parliament and of the Council of 13 November 2019 on the European Border and Coast Guard and repealing Regulations (EU) No 1052/2013 and (EU)</w:t>
      </w:r>
      <w:r>
        <w:t>,</w:t>
      </w:r>
      <w:r w:rsidRPr="0085231A">
        <w:t xml:space="preserve"> </w:t>
      </w:r>
      <w:r>
        <w:t>(</w:t>
      </w:r>
      <w:r w:rsidRPr="0085231A">
        <w:t>2016/1624</w:t>
      </w:r>
      <w:r>
        <w:t xml:space="preserve">, </w:t>
      </w:r>
      <w:r w:rsidRPr="0085231A">
        <w:t>OJ L 295, 14.11.2019, p. 1</w:t>
      </w:r>
      <w:r>
        <w:t xml:space="preserve">. </w:t>
      </w:r>
      <w:r w:rsidRPr="002414D5">
        <w:rPr>
          <w:lang w:val="fi-FI"/>
        </w:rPr>
        <w:t>ELI: http://data.europa.eu/eli/reg/2019/1896/oj),</w:t>
      </w:r>
    </w:p>
  </w:footnote>
  <w:footnote w:id="4">
    <w:p w14:paraId="75FD96F1" w14:textId="77777777" w:rsidR="006C298A" w:rsidRPr="002414D5" w:rsidRDefault="006C298A" w:rsidP="009C5035">
      <w:pPr>
        <w:pStyle w:val="FootnoteText"/>
        <w:rPr>
          <w:lang w:val="fi-FI"/>
        </w:rPr>
      </w:pPr>
      <w:r w:rsidRPr="00535056">
        <w:rPr>
          <w:rStyle w:val="FootnoteReference"/>
        </w:rPr>
        <w:footnoteRef/>
      </w:r>
      <w:r w:rsidRPr="002414D5">
        <w:rPr>
          <w:lang w:val="fi-FI"/>
        </w:rPr>
        <w:tab/>
        <w:t>OJ L 144, 6.6.2007, p. 22.</w:t>
      </w:r>
    </w:p>
  </w:footnote>
  <w:footnote w:id="5">
    <w:p w14:paraId="1C949C94" w14:textId="77777777" w:rsidR="006C298A" w:rsidRPr="003A4850" w:rsidRDefault="006C298A" w:rsidP="009C5035">
      <w:pPr>
        <w:pStyle w:val="FootnoteText"/>
      </w:pPr>
      <w:r w:rsidRPr="00535056">
        <w:rPr>
          <w:rStyle w:val="FootnoteReference"/>
        </w:rPr>
        <w:footnoteRef/>
      </w:r>
      <w:r w:rsidRPr="00241112">
        <w:tab/>
        <w:t xml:space="preserve">Regulation (EU) No 515/2014 </w:t>
      </w:r>
      <w:r w:rsidRPr="003A4850">
        <w:t>of the European Parliament and of the Council of 16 April 2014 establishing, as part of the Internal Security Fund, the instrument for financial support for external borders and visa and repealing Decision No 574/2007/EC</w:t>
      </w:r>
      <w:r>
        <w:t>,</w:t>
      </w:r>
      <w:r w:rsidRPr="003A4850">
        <w:t xml:space="preserve"> (OJ L 150, 20.5.2014, p. 143</w:t>
      </w:r>
      <w:r>
        <w:t xml:space="preserve">, </w:t>
      </w:r>
      <w:r w:rsidRPr="00696398">
        <w:t xml:space="preserve">ELI: </w:t>
      </w:r>
      <w:hyperlink r:id="rId1" w:history="1">
        <w:r w:rsidRPr="00F15FBF">
          <w:rPr>
            <w:rStyle w:val="Hyperlink"/>
          </w:rPr>
          <w:t>http://data.europa.eu/eli/reg/2014/515/oj</w:t>
        </w:r>
      </w:hyperlink>
      <w:r w:rsidRPr="003A4850">
        <w:t>).</w:t>
      </w:r>
    </w:p>
  </w:footnote>
  <w:footnote w:id="6">
    <w:p w14:paraId="0C47AB84" w14:textId="77777777" w:rsidR="006C298A" w:rsidRPr="002F600E" w:rsidRDefault="006C298A" w:rsidP="009C5035">
      <w:pPr>
        <w:pStyle w:val="FootnoteText"/>
        <w:rPr>
          <w:lang w:val="en-IE"/>
        </w:rPr>
      </w:pPr>
      <w:r w:rsidRPr="00535056">
        <w:rPr>
          <w:rStyle w:val="FootnoteReference"/>
        </w:rPr>
        <w:footnoteRef/>
      </w:r>
      <w:r>
        <w:tab/>
      </w:r>
      <w:r w:rsidRPr="00626270">
        <w:t>Regulation (EU) 2021/1148 of the European Parliament and of the Council of 7 July 2021 establishing, as part of the Integrated Border Management Fund, the Instrument for Financial Support for Border Management and Visa Policy</w:t>
      </w:r>
      <w:r>
        <w:t>, (</w:t>
      </w:r>
      <w:r w:rsidRPr="00626270">
        <w:t>OJ L 251, 15.7.2021, p. 48</w:t>
      </w:r>
      <w:r>
        <w:t xml:space="preserve">, </w:t>
      </w:r>
      <w:r w:rsidRPr="00620EAC">
        <w:t xml:space="preserve">ELI: </w:t>
      </w:r>
      <w:hyperlink r:id="rId2" w:history="1">
        <w:r w:rsidRPr="00F15FBF">
          <w:rPr>
            <w:rStyle w:val="Hyperlink"/>
          </w:rPr>
          <w:t>http://data.europa.eu/eli/reg/2021/1148/oj</w:t>
        </w:r>
      </w:hyperlink>
      <w:r>
        <w:t>).</w:t>
      </w:r>
    </w:p>
  </w:footnote>
  <w:footnote w:id="7">
    <w:p w14:paraId="348BA0F3" w14:textId="77777777" w:rsidR="006C298A" w:rsidRPr="00B83CD2" w:rsidRDefault="006C298A" w:rsidP="009C5035">
      <w:pPr>
        <w:pStyle w:val="FootnoteText"/>
        <w:rPr>
          <w:lang w:val="en-IE"/>
        </w:rPr>
      </w:pPr>
      <w:r w:rsidRPr="00534486">
        <w:rPr>
          <w:rStyle w:val="FootnoteReference"/>
        </w:rPr>
        <w:footnoteRef/>
      </w:r>
      <w:r>
        <w:tab/>
      </w:r>
      <w:r w:rsidRPr="00B83CD2">
        <w:t>C</w:t>
      </w:r>
      <w:r>
        <w:t>ommunication</w:t>
      </w:r>
      <w:r w:rsidRPr="00B83CD2">
        <w:t xml:space="preserve"> </w:t>
      </w:r>
      <w:r>
        <w:t xml:space="preserve">from the Commission to the European Parliament and the Council </w:t>
      </w:r>
      <w:r w:rsidRPr="00B83CD2">
        <w:t>on countering hybrid threats from the weaponisation of migration and strengthening security at the EU’s external borders</w:t>
      </w:r>
      <w:r>
        <w:t xml:space="preserve"> (</w:t>
      </w:r>
      <w:proofErr w:type="gramStart"/>
      <w:r w:rsidRPr="00B83CD2">
        <w:t>COM</w:t>
      </w:r>
      <w:r>
        <w:t>(</w:t>
      </w:r>
      <w:proofErr w:type="gramEnd"/>
      <w:r w:rsidRPr="00B83CD2">
        <w:t>2024</w:t>
      </w:r>
      <w:r>
        <w:t xml:space="preserve">) </w:t>
      </w:r>
      <w:r w:rsidRPr="00B83CD2">
        <w:t>570 final</w:t>
      </w:r>
      <w:r>
        <w:t xml:space="preserve"> of </w:t>
      </w:r>
      <w:r w:rsidRPr="00B83CD2">
        <w:t>11.12.2024</w:t>
      </w:r>
      <w:r>
        <w:t>).</w:t>
      </w:r>
    </w:p>
  </w:footnote>
  <w:footnote w:id="8">
    <w:p w14:paraId="6BAA5461" w14:textId="77777777" w:rsidR="006C298A" w:rsidRPr="009D6D48" w:rsidRDefault="006C298A" w:rsidP="009C5035">
      <w:pPr>
        <w:pStyle w:val="FootnoteText"/>
        <w:rPr>
          <w:lang w:val="en-IE"/>
        </w:rPr>
      </w:pPr>
      <w:r w:rsidRPr="00535056">
        <w:rPr>
          <w:rStyle w:val="FootnoteReference"/>
        </w:rPr>
        <w:footnoteRef/>
      </w:r>
      <w:r>
        <w:tab/>
      </w:r>
      <w:r w:rsidRPr="00B53197">
        <w:t>Regulation (EU) 2018/1240 of the European Parliament and of the Council of 12 September 2018 establishing a European Travel Information and Authorisation System (ETIAS) and amending Regulations (EU) No 1077/2011, (EU) No 515/2014, (EU) 2016/399, (EU) 2016/1624 and (EU) 2017/2226</w:t>
      </w:r>
      <w:r>
        <w:t>, (</w:t>
      </w:r>
      <w:r w:rsidRPr="00B53197">
        <w:t>OJ L 236, 19.9.2018, p. 1</w:t>
      </w:r>
      <w:r>
        <w:t xml:space="preserve">, ELI: </w:t>
      </w:r>
      <w:hyperlink r:id="rId3" w:history="1">
        <w:r w:rsidRPr="000773D9">
          <w:rPr>
            <w:rStyle w:val="Hyperlink"/>
          </w:rPr>
          <w:t>http://data.europa.eu/eli/reg/2018/1240/oj</w:t>
        </w:r>
      </w:hyperlink>
      <w:r>
        <w:t>).</w:t>
      </w:r>
    </w:p>
  </w:footnote>
  <w:footnote w:id="9">
    <w:p w14:paraId="0073FFBC" w14:textId="77777777" w:rsidR="006C298A" w:rsidRPr="00A81B6D" w:rsidRDefault="006C298A" w:rsidP="009C5035">
      <w:pPr>
        <w:pStyle w:val="FootnoteText"/>
      </w:pPr>
      <w:r w:rsidRPr="00535056">
        <w:rPr>
          <w:rStyle w:val="FootnoteReference"/>
        </w:rPr>
        <w:footnoteRef/>
      </w:r>
      <w:r>
        <w:tab/>
      </w:r>
      <w:r w:rsidRPr="004A0B0A">
        <w:t>Regulation (EU) 2024/1351 of the European Parliament and of the Council of 14 May 2024 on asylum and migration management, amending Regulations (EU) 2021/1147 and (EU) 2021/1060 and repealing Regulation (EU) No 604/2013</w:t>
      </w:r>
      <w:r>
        <w:t>, (</w:t>
      </w:r>
      <w:r w:rsidRPr="00C95364">
        <w:t>OJ L, 2024/135</w:t>
      </w:r>
      <w:r>
        <w:t>1</w:t>
      </w:r>
      <w:r w:rsidRPr="00C95364">
        <w:t xml:space="preserve">, 22.5.2024, </w:t>
      </w:r>
      <w:r w:rsidRPr="004A0B0A">
        <w:t xml:space="preserve">ELI: </w:t>
      </w:r>
      <w:hyperlink r:id="rId4" w:history="1">
        <w:r w:rsidRPr="00A93D90">
          <w:rPr>
            <w:rStyle w:val="Hyperlink"/>
          </w:rPr>
          <w:t>http://data.europa.eu/eli/reg/2024/1351/oj</w:t>
        </w:r>
      </w:hyperlink>
      <w:r>
        <w:t>).</w:t>
      </w:r>
    </w:p>
  </w:footnote>
  <w:footnote w:id="10">
    <w:p w14:paraId="7D267163" w14:textId="77777777" w:rsidR="006C298A" w:rsidRPr="009D6D48" w:rsidRDefault="006C298A" w:rsidP="009C5035">
      <w:pPr>
        <w:pStyle w:val="FootnoteText"/>
        <w:rPr>
          <w:lang w:val="en-IE"/>
        </w:rPr>
      </w:pPr>
      <w:r w:rsidRPr="00535056">
        <w:rPr>
          <w:rStyle w:val="FootnoteReference"/>
        </w:rPr>
        <w:footnoteRef/>
      </w:r>
      <w:r>
        <w:tab/>
      </w:r>
      <w:r>
        <w:t>Act concerning the conditions of accession of the Czech Republic, the Republic of Estonia, the Republic of Cyprus, the Republic of Latvia, the Republic of Lithuania, the Republic of Hungary, the Republic of Malta, the Republic of Poland, the Republic of Slovenia and the Slovak Republic and the adjustments to the Treaties on which the European Union is founded, (OJ L 236, 23.9.2003,</w:t>
      </w:r>
      <w:r w:rsidRPr="001857E1">
        <w:t xml:space="preserve"> </w:t>
      </w:r>
      <w:r>
        <w:t xml:space="preserve">p. 955, </w:t>
      </w:r>
      <w:r w:rsidRPr="00564677">
        <w:t>ELI: http://data.europa.eu/eli/treaty/acc_2003/act_1/pro_10/sign</w:t>
      </w:r>
      <w:r>
        <w:t>).</w:t>
      </w:r>
    </w:p>
  </w:footnote>
  <w:footnote w:id="11">
    <w:p w14:paraId="46D8D59B" w14:textId="77777777" w:rsidR="006C298A" w:rsidRPr="009D6D48" w:rsidRDefault="006C298A" w:rsidP="009C5035">
      <w:pPr>
        <w:pStyle w:val="FootnoteText"/>
        <w:rPr>
          <w:lang w:val="en-IE"/>
        </w:rPr>
      </w:pPr>
      <w:r w:rsidRPr="00535056">
        <w:rPr>
          <w:rStyle w:val="FootnoteReference"/>
        </w:rPr>
        <w:footnoteRef/>
      </w:r>
      <w:r>
        <w:tab/>
        <w:t xml:space="preserve">Council Regulation (EC) No 693/2003 of 14 April 2003 establishing a specific Facilitated Transit Document (FTD), a Facilitated Rail Transit Document (FRTD) and amending the Common Consular Instructions and the Common Manual, (OJ L 99, 17.4.2003, p. 8, </w:t>
      </w:r>
      <w:r w:rsidRPr="00AE7206">
        <w:rPr>
          <w:lang w:val="en-IE"/>
        </w:rPr>
        <w:t xml:space="preserve">ELI: </w:t>
      </w:r>
      <w:hyperlink r:id="rId5" w:history="1">
        <w:r w:rsidRPr="000773D9">
          <w:rPr>
            <w:rStyle w:val="Hyperlink"/>
            <w:lang w:val="en-IE"/>
          </w:rPr>
          <w:t>http://data.europa.eu/eli/reg/2003/693/oj</w:t>
        </w:r>
      </w:hyperlink>
      <w:r>
        <w:rPr>
          <w:lang w:val="en-IE"/>
        </w:rPr>
        <w:t>)</w:t>
      </w:r>
      <w:r>
        <w:t>.</w:t>
      </w:r>
    </w:p>
  </w:footnote>
  <w:footnote w:id="12">
    <w:p w14:paraId="07877D3E" w14:textId="77777777" w:rsidR="006C298A" w:rsidRPr="009D6D48" w:rsidRDefault="006C298A" w:rsidP="009C5035">
      <w:pPr>
        <w:pStyle w:val="FootnoteText"/>
        <w:rPr>
          <w:lang w:val="en-IE"/>
        </w:rPr>
      </w:pPr>
      <w:r w:rsidRPr="00535056">
        <w:rPr>
          <w:rStyle w:val="FootnoteReference"/>
        </w:rPr>
        <w:footnoteRef/>
      </w:r>
      <w:r>
        <w:tab/>
      </w:r>
      <w:r w:rsidRPr="00C3076E">
        <w:t>OJ L 176, 10.7.1999, p. 36.</w:t>
      </w:r>
    </w:p>
  </w:footnote>
  <w:footnote w:id="13">
    <w:p w14:paraId="73DC7682" w14:textId="77777777" w:rsidR="006C298A" w:rsidRPr="009D6D48" w:rsidRDefault="006C298A" w:rsidP="009C5035">
      <w:pPr>
        <w:pStyle w:val="FootnoteText"/>
        <w:rPr>
          <w:lang w:val="en-IE"/>
        </w:rPr>
      </w:pPr>
      <w:r w:rsidRPr="00535056">
        <w:rPr>
          <w:rStyle w:val="FootnoteReference"/>
        </w:rPr>
        <w:footnoteRef/>
      </w:r>
      <w:r>
        <w:tab/>
        <w:t xml:space="preserve">Council Decision 1999/437/EC of 17 May 1999 on certain arrangements for the application of the Agreement concluded by the Council of the European Union and the Republic of Iceland and the Kingdom of Norway concerning the association of those two States with the implementation, application and development of the Schengen acquis, (OJ L 176, 10.7.1999, p. 31, </w:t>
      </w:r>
      <w:r w:rsidRPr="003B4D04">
        <w:t xml:space="preserve">ELI: </w:t>
      </w:r>
      <w:hyperlink r:id="rId6" w:history="1">
        <w:r w:rsidRPr="00F15FBF">
          <w:rPr>
            <w:rStyle w:val="Hyperlink"/>
          </w:rPr>
          <w:t>http://data.europa.eu/eli/dec/1999/437/oj</w:t>
        </w:r>
      </w:hyperlink>
      <w:r>
        <w:t>).</w:t>
      </w:r>
    </w:p>
  </w:footnote>
  <w:footnote w:id="14">
    <w:p w14:paraId="6BBB41E6" w14:textId="77777777" w:rsidR="006C298A" w:rsidRPr="009D6D48" w:rsidRDefault="006C298A" w:rsidP="009C5035">
      <w:pPr>
        <w:pStyle w:val="FootnoteText"/>
        <w:rPr>
          <w:lang w:val="en-IE"/>
        </w:rPr>
      </w:pPr>
      <w:r w:rsidRPr="00535056">
        <w:rPr>
          <w:rStyle w:val="FootnoteReference"/>
        </w:rPr>
        <w:footnoteRef/>
      </w:r>
      <w:r>
        <w:tab/>
      </w:r>
      <w:r w:rsidRPr="00C3076E">
        <w:t>OJ L 53, 27.2.2008, p. 52.</w:t>
      </w:r>
    </w:p>
  </w:footnote>
  <w:footnote w:id="15">
    <w:p w14:paraId="09DC0B52" w14:textId="77777777" w:rsidR="006C298A" w:rsidRPr="009D6D48" w:rsidRDefault="006C298A" w:rsidP="009C5035">
      <w:pPr>
        <w:pStyle w:val="FootnoteText"/>
        <w:rPr>
          <w:lang w:val="en-IE"/>
        </w:rPr>
      </w:pPr>
      <w:r w:rsidRPr="00535056">
        <w:rPr>
          <w:rStyle w:val="FootnoteReference"/>
        </w:rPr>
        <w:footnoteRef/>
      </w:r>
      <w:r>
        <w:tab/>
        <w:t xml:space="preserve">Council Decision 2008/146/EC of 28 January 2008 on the conclusion, on behalf of the European Community, of the Agreement between the European Union, the European Community and the Swiss Confederation on the Swiss Confederation’s association with the implementation, application and development of the Schengen acquis, (OJ L 53, 27.2.2008, p. 1, </w:t>
      </w:r>
      <w:r w:rsidRPr="006D646D">
        <w:t xml:space="preserve">ELI: </w:t>
      </w:r>
      <w:hyperlink r:id="rId7" w:history="1">
        <w:r w:rsidRPr="00F15FBF">
          <w:rPr>
            <w:rStyle w:val="Hyperlink"/>
          </w:rPr>
          <w:t>http://data.europa.eu/eli/dec/2008/146/oj</w:t>
        </w:r>
      </w:hyperlink>
      <w:r>
        <w:t>).</w:t>
      </w:r>
    </w:p>
  </w:footnote>
  <w:footnote w:id="16">
    <w:p w14:paraId="59AAF884" w14:textId="77777777" w:rsidR="006C298A" w:rsidRPr="002414D5" w:rsidRDefault="006C298A" w:rsidP="009C5035">
      <w:pPr>
        <w:pStyle w:val="FootnoteText"/>
        <w:rPr>
          <w:lang w:val="fi-FI"/>
        </w:rPr>
      </w:pPr>
      <w:r w:rsidRPr="00535056">
        <w:rPr>
          <w:rStyle w:val="FootnoteReference"/>
        </w:rPr>
        <w:footnoteRef/>
      </w:r>
      <w:r w:rsidRPr="002414D5">
        <w:rPr>
          <w:lang w:val="fi-FI"/>
        </w:rPr>
        <w:tab/>
        <w:t xml:space="preserve">OJ L 160, 18.6.2011, p. 21, </w:t>
      </w:r>
      <w:r w:rsidRPr="00AE7206">
        <w:rPr>
          <w:lang w:val="fi-FI"/>
        </w:rPr>
        <w:t>ELI: http://data.europa.eu/eli/prot/2011/350/oj</w:t>
      </w:r>
      <w:r w:rsidRPr="002414D5">
        <w:rPr>
          <w:lang w:val="fi-FI"/>
        </w:rPr>
        <w:t>.</w:t>
      </w:r>
    </w:p>
  </w:footnote>
  <w:footnote w:id="17">
    <w:p w14:paraId="0F0CD4D8" w14:textId="77777777" w:rsidR="006C298A" w:rsidRPr="009D6D48" w:rsidRDefault="006C298A" w:rsidP="009C5035">
      <w:pPr>
        <w:pStyle w:val="FootnoteText"/>
        <w:rPr>
          <w:lang w:val="en-IE"/>
        </w:rPr>
      </w:pPr>
      <w:r w:rsidRPr="00535056">
        <w:rPr>
          <w:rStyle w:val="FootnoteReference"/>
        </w:rPr>
        <w:footnoteRef/>
      </w:r>
      <w:r>
        <w:tab/>
      </w:r>
      <w:r>
        <w:t>Council Decision 2011/350/EU of 7 March 2011 on the conclusion, on behalf of the European Union,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acquis, relating to the a</w:t>
      </w:r>
      <w:r>
        <w:t xml:space="preserve">bolition of checks at internal borders and movement of persons, (OJ L 160, 18.6.2011, p. 19, </w:t>
      </w:r>
      <w:r w:rsidRPr="0043791A">
        <w:t xml:space="preserve">ELI: </w:t>
      </w:r>
      <w:hyperlink r:id="rId8" w:history="1">
        <w:r w:rsidRPr="00F15FBF">
          <w:rPr>
            <w:rStyle w:val="Hyperlink"/>
          </w:rPr>
          <w:t>http://data.europa.eu/eli/dec/2011/350/oj</w:t>
        </w:r>
      </w:hyperlink>
      <w:r>
        <w:t>).</w:t>
      </w:r>
    </w:p>
  </w:footnote>
  <w:footnote w:id="18">
    <w:p w14:paraId="7A4E23BA" w14:textId="77777777" w:rsidR="006C298A" w:rsidRPr="009D6D48" w:rsidRDefault="006C298A" w:rsidP="009C5035">
      <w:pPr>
        <w:pStyle w:val="FootnoteText"/>
        <w:rPr>
          <w:lang w:val="en-IE"/>
        </w:rPr>
      </w:pPr>
      <w:r w:rsidRPr="00535056">
        <w:rPr>
          <w:rStyle w:val="FootnoteReference"/>
        </w:rPr>
        <w:footnoteRef/>
      </w:r>
      <w:r>
        <w:tab/>
        <w:t xml:space="preserve">Council Decision 2002/192/EC of 28 February 2002 concerning Ireland’s request to take part in some of the provisions of the Schengen acquis, (OJ L 64, 7.3.2002, p. 20, </w:t>
      </w:r>
      <w:r w:rsidRPr="0044332C">
        <w:t>ELI: http://data.europa.eu/eli/dec/2002/192/oj</w:t>
      </w:r>
      <w:r>
        <w:t>).</w:t>
      </w:r>
    </w:p>
  </w:footnote>
  <w:footnote w:id="19">
    <w:p w14:paraId="22BD9ECB" w14:textId="77777777" w:rsidR="006C298A" w:rsidRPr="009D63A2" w:rsidRDefault="006C298A" w:rsidP="009C5035">
      <w:pPr>
        <w:pStyle w:val="FootnoteText"/>
        <w:rPr>
          <w:lang w:val="en-IE"/>
        </w:rPr>
      </w:pPr>
      <w:r w:rsidRPr="00535056">
        <w:rPr>
          <w:rStyle w:val="FootnoteReference"/>
        </w:rPr>
        <w:footnoteRef/>
      </w:r>
      <w:r>
        <w:tab/>
      </w:r>
      <w:r w:rsidRPr="009D63A2">
        <w:t>Regulation (EU) 2016/399 of the European Parliament and of the Council of 9 March 2016 on a Union Code on the rules governing the movement of persons across borders (Schengen Borders Code) (codification)</w:t>
      </w:r>
      <w:r>
        <w:t>,</w:t>
      </w:r>
      <w:r w:rsidRPr="009D63A2">
        <w:t xml:space="preserve"> (OJ L 77, 23.3.2016, p. 1–52</w:t>
      </w:r>
      <w:r>
        <w:t xml:space="preserve">, </w:t>
      </w:r>
      <w:r w:rsidRPr="000D233C">
        <w:t>ELI: http://data.europa.eu/eli/reg/2016/399/oj</w:t>
      </w:r>
      <w:r w:rsidRPr="009D63A2">
        <w:t>).</w:t>
      </w:r>
    </w:p>
  </w:footnote>
  <w:footnote w:id="20">
    <w:p w14:paraId="5F818DE9" w14:textId="77777777" w:rsidR="006C298A" w:rsidRPr="009D63A2" w:rsidRDefault="006C298A" w:rsidP="009C5035">
      <w:pPr>
        <w:pStyle w:val="FootnoteText"/>
        <w:rPr>
          <w:lang w:val="en-IE"/>
        </w:rPr>
      </w:pPr>
      <w:r w:rsidRPr="00535056">
        <w:rPr>
          <w:rStyle w:val="FootnoteReference"/>
        </w:rPr>
        <w:footnoteRef/>
      </w:r>
      <w:r>
        <w:tab/>
      </w:r>
      <w:r w:rsidRPr="009D63A2">
        <w:t>Regulation (EU) 2019/1896 of the European Parliament and of the Council of 13 November 2019 on the European Border and Coast Guard and repealing Regulations (EU) No 1052/2013 and (EU) 2016/1624</w:t>
      </w:r>
      <w:r>
        <w:t>,</w:t>
      </w:r>
      <w:r w:rsidRPr="009D63A2">
        <w:t xml:space="preserve"> (OJ L 295, 14.11.2019, p. 1–131).</w:t>
      </w:r>
    </w:p>
  </w:footnote>
  <w:footnote w:id="21">
    <w:p w14:paraId="082E1E61" w14:textId="77777777" w:rsidR="006C298A" w:rsidRPr="009D63A2" w:rsidRDefault="006C298A" w:rsidP="009C5035">
      <w:pPr>
        <w:pStyle w:val="FootnoteText"/>
        <w:rPr>
          <w:lang w:val="en-IE"/>
        </w:rPr>
      </w:pPr>
      <w:r w:rsidRPr="00535056">
        <w:rPr>
          <w:rStyle w:val="FootnoteReference"/>
        </w:rPr>
        <w:footnoteRef/>
      </w:r>
      <w:r>
        <w:tab/>
      </w:r>
      <w:r w:rsidRPr="009D63A2">
        <w:t>Regulation (EU) 2016/399 of the European Parliament and of the Council of 9 March 2016 on a Union Code on the rules governing the movement of persons across borders (Schengen Borders Code) (codification)</w:t>
      </w:r>
      <w:r>
        <w:t>,</w:t>
      </w:r>
      <w:r w:rsidRPr="009D63A2">
        <w:t xml:space="preserve"> (OJ L 77, 23.3.2016, p. 1–52).</w:t>
      </w:r>
    </w:p>
  </w:footnote>
  <w:footnote w:id="22">
    <w:p w14:paraId="6C5036F1" w14:textId="77777777" w:rsidR="006C298A" w:rsidRPr="009D63A2" w:rsidRDefault="006C298A" w:rsidP="009C5035">
      <w:pPr>
        <w:pStyle w:val="FootnoteText"/>
        <w:rPr>
          <w:lang w:val="en-IE"/>
        </w:rPr>
      </w:pPr>
      <w:r w:rsidRPr="00535056">
        <w:rPr>
          <w:rStyle w:val="FootnoteReference"/>
        </w:rPr>
        <w:footnoteRef/>
      </w:r>
      <w:r>
        <w:tab/>
      </w:r>
      <w:r w:rsidRPr="009D63A2">
        <w:t>Regulation (EU) 2019/1896 of the European Parliament and of the Council of 13 November 2019 on the European Border and Coast Guard and repealing Regulations (EU) No 1052/2013 and (EU) 2016/1624</w:t>
      </w:r>
      <w:r>
        <w:t>,</w:t>
      </w:r>
      <w:r w:rsidRPr="009D63A2">
        <w:t xml:space="preserve"> (OJ L 295, 14.11.2019, p. 1–131).</w:t>
      </w:r>
    </w:p>
  </w:footnote>
  <w:footnote w:id="23">
    <w:p w14:paraId="5C58B53C" w14:textId="77777777" w:rsidR="006C298A" w:rsidRPr="008665C8" w:rsidRDefault="006C298A" w:rsidP="009C5035">
      <w:pPr>
        <w:pStyle w:val="FootnoteText"/>
        <w:rPr>
          <w:lang w:val="en-IE"/>
        </w:rPr>
      </w:pPr>
      <w:r w:rsidRPr="00535056">
        <w:rPr>
          <w:rStyle w:val="FootnoteReference"/>
        </w:rPr>
        <w:footnoteRef/>
      </w:r>
      <w:r w:rsidRPr="008665C8">
        <w:tab/>
        <w:t>Regulation (EC) No 810/2009 of the European Parliament and of the Council of 13 July 2009 establishing a Community Code on Visas (Visa Code)</w:t>
      </w:r>
      <w:r>
        <w:t>,</w:t>
      </w:r>
      <w:r w:rsidRPr="008665C8">
        <w:t xml:space="preserve"> (OJ L 243, 15.9.2009, p. 1-58</w:t>
      </w:r>
      <w:r>
        <w:t xml:space="preserve">, </w:t>
      </w:r>
      <w:r w:rsidRPr="0068070A">
        <w:t>ELI: http://data.europa.eu/eli/reg/2009/810/oj</w:t>
      </w:r>
      <w:r w:rsidRPr="008665C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8299" w14:textId="77777777" w:rsidR="006C298A" w:rsidRPr="007C3E3D" w:rsidRDefault="006C298A" w:rsidP="007C3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A779" w14:textId="77777777" w:rsidR="00D77265" w:rsidRDefault="006C298A">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5306" w14:textId="77777777" w:rsidR="00D77265" w:rsidRDefault="006C298A">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9C12" w14:textId="77777777" w:rsidR="006C298A" w:rsidRPr="007C3E3D" w:rsidRDefault="006C298A" w:rsidP="007C3E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EAE4" w14:textId="77777777" w:rsidR="00D77265" w:rsidRDefault="006C298A">
    <w: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0E07" w14:textId="77777777" w:rsidR="006C298A" w:rsidRDefault="006C298A">
    <w:pPr>
      <w:pStyle w:val="HeaderCouncil"/>
    </w:pPr>
    <w: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9B7D" w14:textId="77777777" w:rsidR="006C298A" w:rsidRPr="007C3E3D" w:rsidRDefault="006C298A" w:rsidP="007C3E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74DE" w14:textId="77777777" w:rsidR="006C298A" w:rsidRPr="007C3E3D" w:rsidRDefault="006C298A" w:rsidP="007C3E3D">
    <w:pPr>
      <w:pStyle w:val="HeaderCouncil"/>
    </w:pPr>
    <w:r>
      <w:rPr>
        <w:noProof/>
      </w:rPr>
      <w:drawing>
        <wp:anchor distT="0" distB="0" distL="114300" distR="114300" simplePos="0" relativeHeight="251659264" behindDoc="0" locked="0" layoutInCell="1" allowOverlap="1" wp14:anchorId="2CCF14F0" wp14:editId="1F630824">
          <wp:simplePos x="0" y="0"/>
          <wp:positionH relativeFrom="column">
            <wp:align>center</wp:align>
          </wp:positionH>
          <wp:positionV relativeFrom="page">
            <wp:posOffset>9899650</wp:posOffset>
          </wp:positionV>
          <wp:extent cx="6120000" cy="684000"/>
          <wp:effectExtent l="0" t="0" r="0" b="0"/>
          <wp:wrapNone/>
          <wp:docPr id="3" name="DW_WATERMARK_41521371-4115-44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70876" name="DW_WATERMARK_41521371-4115-44f1-"/>
                  <pic:cNvPicPr/>
                </pic:nvPicPr>
                <pic:blipFill>
                  <a:blip r:embed="rId1">
                    <a:extLst>
                      <a:ext uri="{28A0092B-C50C-407E-A947-70E740481C1C}">
                        <a14:useLocalDpi xmlns:a14="http://schemas.microsoft.com/office/drawing/2010/main" val="0"/>
                      </a:ext>
                    </a:extLst>
                  </a:blip>
                  <a:stretch>
                    <a:fillRect/>
                  </a:stretch>
                </pic:blipFill>
                <pic:spPr>
                  <a:xfrm>
                    <a:off x="0" y="0"/>
                    <a:ext cx="6120000" cy="684000"/>
                  </a:xfrm>
                  <a:prstGeom prst="rect">
                    <a:avLst/>
                  </a:prstGeom>
                </pic:spPr>
              </pic:pic>
            </a:graphicData>
          </a:graphic>
          <wp14:sizeRelH relativeFrom="margin">
            <wp14:pctWidth>0</wp14:pctWidth>
          </wp14:sizeRelH>
          <wp14:sizeRelV relativeFrom="margin">
            <wp14:pctHeight>0</wp14:pctHeight>
          </wp14:sizeRelV>
        </wp:anchor>
      </w:drawing>
    </w: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10"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1"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3"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14"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15"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6"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17"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19"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20"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21"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2"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16cid:durableId="1810054753">
    <w:abstractNumId w:val="0"/>
  </w:num>
  <w:num w:numId="2" w16cid:durableId="423720281">
    <w:abstractNumId w:val="6"/>
  </w:num>
  <w:num w:numId="3" w16cid:durableId="493762657">
    <w:abstractNumId w:val="9"/>
  </w:num>
  <w:num w:numId="4" w16cid:durableId="1352603710">
    <w:abstractNumId w:val="5"/>
  </w:num>
  <w:num w:numId="5" w16cid:durableId="1164009939">
    <w:abstractNumId w:val="4"/>
  </w:num>
  <w:num w:numId="6" w16cid:durableId="1360886159">
    <w:abstractNumId w:val="14"/>
  </w:num>
  <w:num w:numId="7" w16cid:durableId="2136485418">
    <w:abstractNumId w:val="21"/>
  </w:num>
  <w:num w:numId="8" w16cid:durableId="2074573586">
    <w:abstractNumId w:val="15"/>
  </w:num>
  <w:num w:numId="9" w16cid:durableId="366952780">
    <w:abstractNumId w:val="1"/>
  </w:num>
  <w:num w:numId="10" w16cid:durableId="2056536156">
    <w:abstractNumId w:val="16"/>
  </w:num>
  <w:num w:numId="11" w16cid:durableId="1645812426">
    <w:abstractNumId w:val="12"/>
  </w:num>
  <w:num w:numId="12" w16cid:durableId="610939299">
    <w:abstractNumId w:val="2"/>
  </w:num>
  <w:num w:numId="13" w16cid:durableId="1566985253">
    <w:abstractNumId w:val="20"/>
  </w:num>
  <w:num w:numId="14" w16cid:durableId="1536505513">
    <w:abstractNumId w:val="22"/>
  </w:num>
  <w:num w:numId="15" w16cid:durableId="1365907141">
    <w:abstractNumId w:val="10"/>
  </w:num>
  <w:num w:numId="16" w16cid:durableId="1978802151">
    <w:abstractNumId w:val="19"/>
  </w:num>
  <w:num w:numId="17" w16cid:durableId="671496232">
    <w:abstractNumId w:val="13"/>
  </w:num>
  <w:num w:numId="18" w16cid:durableId="873420062">
    <w:abstractNumId w:val="11"/>
  </w:num>
  <w:num w:numId="19" w16cid:durableId="1186096618">
    <w:abstractNumId w:val="7"/>
  </w:num>
  <w:num w:numId="20" w16cid:durableId="1084718487">
    <w:abstractNumId w:val="3"/>
  </w:num>
  <w:num w:numId="21" w16cid:durableId="19404141">
    <w:abstractNumId w:val="17"/>
  </w:num>
  <w:num w:numId="22" w16cid:durableId="430392942">
    <w:abstractNumId w:val="18"/>
  </w:num>
  <w:num w:numId="23" w16cid:durableId="1061174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DocuWriteMetaData" w:val="&lt;metadataset docuwriteversion=&quot;4.12.1&quot; technicalblockguid=&quot;5568692986073102431&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35&quot; text=&quot;INFORMATION NOTE&quot; /&gt;_x000d__x000a_    &lt;/basicdatatype&gt;_x000d__x000a_  &lt;/metadata&gt;_x000d__x000a_  &lt;metadata key=&quot;md_HeadingText&quot;&gt;_x000d__x000a_    &lt;headingtext text=&quot;INFORMATION NOTE&quot;&gt;_x000d__x000a_      &lt;formattedtext&gt;_x000d__x000a_        &lt;xaml text=&quot;INFORMATION NOTE&quot;&gt;&amp;lt;FlowDocument xmlns=&quot;http://schemas.microsoft.com/winfx/2006/xaml/presentation&quot;&amp;gt;&amp;lt;Paragraph&amp;gt;INFORMATION NOTE&amp;lt;/Paragraph&amp;gt;&amp;lt;/FlowDocument&amp;gt;&lt;/xaml&gt;_x000d__x000a_      &lt;/formattedtext&gt;_x000d__x000a_    &lt;/headingtext&gt;_x000d__x000a_  &lt;/metadata&gt;_x000d__x000a_  &lt;metadata key=&quot;md_CustomFootnote&quot;&gt;_x000d__x000a_    &lt;text&gt;&lt;/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 /&gt;_x000d__x000a_  &lt;metadata key=&quot;md_ContributingServic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5-07-31&lt;/text&gt;_x000d__x000a_  &lt;/metadata&gt;_x000d__x000a_  &lt;metadata key=&quot;md_Prefix&quot;&gt;_x000d__x000a_    &lt;text&gt;&lt;/text&gt;_x000d__x000a_  &lt;/metadata&gt;_x000d__x000a_  &lt;metadata key=&quot;md_DocumentNumber&quot;&gt;_x000d__x000a_    &lt;text&gt;11988&lt;/text&gt;_x000d__x000a_  &lt;/metadata&gt;_x000d__x000a_  &lt;metadata key=&quot;md_YearDocumentNumber&quot;&gt;_x000d__x000a_    &lt;text&gt;2025&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ADREFIN 133&lt;/text&gt;_x000d__x000a_      &lt;text&gt;POLGEN 104&lt;/text&gt;_x000d__x000a_      &lt;text&gt;FIN 934&lt;/text&gt;_x000d__x000a_      &lt;text&gt;JAI 1130&lt;/text&gt;_x000d__x000a_      &lt;text&gt;FRONT 185&lt;/text&gt;_x000d__x000a_      &lt;text&gt;MIGR 275&lt;/text&gt;_x000d__x000a_      &lt;text&gt;VISA 115&lt;/text&gt;_x000d__x000a_      &lt;text&gt;SIRIS 8&lt;/text&gt;_x000d__x000a_      &lt;text&gt;COMIX 234&lt;/text&gt;_x000d__x000a_      &lt;text&gt;CODEC 1094&lt;/text&gt;_x000d__x000a_    &lt;/textlist&gt;_x000d__x000a_  &lt;/metadata&gt;_x000d__x000a_  &lt;metadata key=&quot;md_ThirdPartyDistributionMarkers&quot;&gt;_x000d__x000a_    &lt;textlist /&gt;_x000d__x000a_  &lt;/metadata&gt;_x000d__x000a_  &lt;metadata key=&quot;md_Contact&quot;&gt;_x000d__x000a_    &lt;text&gt;&lt;/text&gt;_x000d__x000a_  &lt;/metadata&gt;_x000d__x000a_  &lt;metadata key=&quot;md_ContactPhoneFax&quot;&gt;_x000d__x000a_    &lt;text&gt;&lt;/text&gt;_x000d__x000a_  &lt;/metadata&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gt;_x000d__x000a_    &lt;text&gt;&lt;/text&gt;_x000d__x000a_  &lt;/metadata&gt;_x000d__x000a_  &lt;metadata key=&quot;md_CouncilConfiguration&quot; /&gt;_x000d__x000a_  &lt;metadata key=&quot;md_CouncilIssue&quot; /&gt;_x000d__x000a_  &lt;metadata key=&quot;md_PhoneNumber&quot;&gt;_x000d__x000a_    &lt;text&gt;&lt;/text&gt;_x000d__x000a_  &lt;/metadata&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gt;_x000d__x000a_    &lt;textlist&gt;_x000d__x000a_      &lt;text&gt;&lt;/text&gt;_x000d__x000a_    &lt;/textlist&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gt;_x000d__x000a_    &lt;basicdatatype&gt;_x000d__x000a_      &lt;location key=&quot;&quot; /&gt;_x000d__x000a_    &lt;/basicdatatype&gt;_x000d__x000a_  &lt;/metadata&gt;_x000d__x000a_  &lt;metadata key=&quot;md_MeetingDate&quot;&gt;_x000d__x000a_    &lt;textlist /&gt;_x000d__x000a_  &lt;/metadata&gt;_x000d__x000a_  &lt;metadata key=&quot;md_DateFormatOr&quot;&gt;_x000d__x000a_    &lt;text&gt;&lt;/text&gt;_x000d__x000a_  &lt;/metadata&gt;_x000d__x000a_  &lt;metadata key=&quot;md_MeetingInformation&quot; /&gt;_x000d__x000a_  &lt;metadata key=&quot;md_Item&quot; /&gt;_x000d__x000a_  &lt;metadata key=&quot;md_SubjectPrefix&quot; /&gt;_x000d__x000a_  &lt;metadata key=&quot;md_Subject&quot;&gt;_x000d__x000a_    &lt;xaml text=&quot;Proposal for a REGULATION OF THE EUROPEAN PARLIAMENT AND OF THE COUNCIL establishing the Union support for the Schengen area, for European integrated border management and for the common policy on visas for the period from 2028 to 2034 - Bracketed provisions&quot;&gt;&amp;lt;FlowDocument xmlns=&quot;http://schemas.microsoft.com/winfx/2006/xaml/presentation&quot;&amp;gt;&amp;lt;Paragraph&amp;gt;Proposal for a REGULATION OF THE EUROPEAN PARLIAMENT AND OF THE COUNCIL establishing the Union support for the Schengen area, for European integrated border management and for the common policy on visas for the period from 2028 to 2034&amp;lt;/Paragraph&amp;gt;&amp;lt;Paragraph&amp;gt;- Bracketed provisions&amp;lt;/Paragraph&amp;gt;&amp;lt;/FlowDocument&amp;gt;&lt;/xaml&gt;_x000d__x000a_  &lt;/metadata&gt;_x000d__x000a_  &lt;metadata key=&quot;md_SubjectFootnote&quot;&gt;_x000d__x000a_    &lt;text&gt;&lt;/text&gt;_x000d__x000a_  &lt;/metadata&gt;_x000d__x000a_  &lt;metadata key=&quot;md_DG&quot;&gt;_x000d__x000a_    &lt;text&gt;&lt;/text&gt;_x000d__x000a_  &lt;/metadata&gt;_x000d__x000a_  &lt;metadata key=&quot;md_Initials&quot;&gt;_x000d__x000a_    &lt;text&gt;&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 /&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gt;_x000d__x000a_  &lt;metadata key=&quot;md_Rectif_Source1_DocumentType&quot; /&gt;_x000d__x000a_  &lt;metadata key=&quot;md_Rectif_Source1_DocumentNumber&quot; /&gt;_x000d__x000a_  &lt;metadata key=&quot;md_Rectif_Source1_YearDocumentNumber&quot; /&gt;_x000d__x000a_  &lt;metadata key=&quot;md_Rectif_Source1_Suffixes&quot; /&gt;_x000d__x000a_  &lt;metadata key=&quot;md_Rectif_Source2_UniqueHeading&quot; /&gt;_x000d__x000a_  &lt;metadata key=&quot;md_Rectif_Source2_DocumentType&quot; /&gt;_x000d__x000a_  &lt;metadata key=&quot;md_Rectif_Source2_DocumentNumber&quot; /&gt;_x000d__x000a_  &lt;metadata key=&quot;md_Rectif_Source2_YearDocumentNumber&quot; /&gt;_x000d__x000a_  &lt;metadata key=&quot;md_Rectif_Source2_Suffixes&quot; /&gt;_x000d__x000a_  &lt;metadata key=&quot;md_CoverPageDocWithCouncilFooter&quot;&gt;_x000d__x000a_    &lt;text&gt;&lt;/text&gt;_x000d__x000a_  &lt;/metadata&gt;_x000d__x000a_  &lt;metadata key=&quot;md_SourceDocLanguage&quot; /&gt;_x000d__x000a_  &lt;metadata key=&quot;md_SourceDocType&quot; /&gt;_x000d__x000a_  &lt;metadata key=&quot;md_SourceDocTitle&quot; /&gt;_x000d__x000a_  &lt;metadata key=&quot;md_SourceDocIsCECDoc&quot;&gt;_x000d__x000a_    &lt;text&gt;&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xmlns=&quot;http://schemas.microsoft.com/winfx/2006/xaml/presentation&quot;&amp;gt;&amp;lt;Paragraph&amp;gt;&amp;lt;/Paragraph&amp;gt;&amp;lt;/FlowDocument&amp;gt;&lt;/xaml&gt;_x000d__x000a_  &lt;/metadata&gt;_x000d__x000a_  &lt;metadata key=&quot;md_WorkflowLinkStatus&quot; /&gt;_x000d__x000a_  &lt;metadata key=&quot;md_eAgendaLinkStatus&quot; /&gt;_x000d__x000a_  &lt;metadata key=&quot;md_Caveat&quot; /&gt;_x000d__x000a_  &lt;metadata key=&quot;md_TechnicalKey&quot; /&gt;_x000d__x000a_&lt;/metadataset&gt;"/>
    <w:docVar w:name="DW_AutoOpen" w:val="True"/>
  </w:docVars>
  <w:rsids>
    <w:rsidRoot w:val="00A86151"/>
    <w:rsid w:val="00052D7C"/>
    <w:rsid w:val="00144FF1"/>
    <w:rsid w:val="001C16E9"/>
    <w:rsid w:val="003558E4"/>
    <w:rsid w:val="003B3627"/>
    <w:rsid w:val="003C184A"/>
    <w:rsid w:val="00443A64"/>
    <w:rsid w:val="0054146C"/>
    <w:rsid w:val="00546796"/>
    <w:rsid w:val="005C370C"/>
    <w:rsid w:val="006C298A"/>
    <w:rsid w:val="007F499B"/>
    <w:rsid w:val="00854E58"/>
    <w:rsid w:val="00894139"/>
    <w:rsid w:val="00A43C50"/>
    <w:rsid w:val="00A86151"/>
    <w:rsid w:val="00D3039B"/>
    <w:rsid w:val="00D77265"/>
    <w:rsid w:val="00D93D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6CBB"/>
  <w15:chartTrackingRefBased/>
  <w15:docId w15:val="{06B075C0-6990-4042-BE74-F3D5390D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rFonts w:ascii="Times New Roman" w:hAnsi="Times New Roman" w:cs="Times New Roman"/>
      <w:sz w:val="24"/>
      <w:lang w:val="en-GB"/>
    </w:rPr>
  </w:style>
  <w:style w:type="paragraph" w:styleId="Heading1">
    <w:name w:val="heading 1"/>
    <w:basedOn w:val="Normal"/>
    <w:next w:val="Normal"/>
    <w:link w:val="Heading1Char"/>
    <w:uiPriority w:val="9"/>
    <w:qFormat/>
    <w:rsid w:val="00A86151"/>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semiHidden/>
    <w:unhideWhenUsed/>
    <w:qFormat/>
    <w:rsid w:val="00A86151"/>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A86151"/>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A86151"/>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rPr>
  </w:style>
  <w:style w:type="paragraph" w:styleId="Heading5">
    <w:name w:val="heading 5"/>
    <w:basedOn w:val="Normal"/>
    <w:next w:val="Normal"/>
    <w:link w:val="Heading5Char"/>
    <w:uiPriority w:val="9"/>
    <w:semiHidden/>
    <w:unhideWhenUsed/>
    <w:qFormat/>
    <w:rsid w:val="00A86151"/>
    <w:pPr>
      <w:keepNext/>
      <w:keepLines/>
      <w:spacing w:before="80" w:after="40" w:line="259" w:lineRule="auto"/>
      <w:outlineLvl w:val="4"/>
    </w:pPr>
    <w:rPr>
      <w:rFonts w:asciiTheme="minorHAnsi" w:eastAsiaTheme="majorEastAsia" w:hAnsiTheme="minorHAnsi" w:cstheme="majorBidi"/>
      <w:color w:val="365F91" w:themeColor="accent1" w:themeShade="BF"/>
      <w:kern w:val="2"/>
      <w:sz w:val="22"/>
    </w:rPr>
  </w:style>
  <w:style w:type="paragraph" w:styleId="Heading6">
    <w:name w:val="heading 6"/>
    <w:basedOn w:val="Normal"/>
    <w:next w:val="Normal"/>
    <w:link w:val="Heading6Char"/>
    <w:uiPriority w:val="9"/>
    <w:semiHidden/>
    <w:unhideWhenUsed/>
    <w:qFormat/>
    <w:rsid w:val="00A86151"/>
    <w:pPr>
      <w:keepNext/>
      <w:keepLines/>
      <w:spacing w:before="40" w:line="259" w:lineRule="auto"/>
      <w:outlineLvl w:val="5"/>
    </w:pPr>
    <w:rPr>
      <w:rFonts w:asciiTheme="minorHAnsi" w:eastAsiaTheme="majorEastAsia" w:hAnsiTheme="minorHAnsi" w:cstheme="majorBidi"/>
      <w:i/>
      <w:iCs/>
      <w:color w:val="595959" w:themeColor="text1" w:themeTint="A6"/>
      <w:kern w:val="2"/>
      <w:sz w:val="22"/>
    </w:rPr>
  </w:style>
  <w:style w:type="paragraph" w:styleId="Heading7">
    <w:name w:val="heading 7"/>
    <w:basedOn w:val="Normal"/>
    <w:next w:val="Normal"/>
    <w:link w:val="Heading7Char"/>
    <w:uiPriority w:val="9"/>
    <w:semiHidden/>
    <w:unhideWhenUsed/>
    <w:qFormat/>
    <w:rsid w:val="00A86151"/>
    <w:pPr>
      <w:keepNext/>
      <w:keepLines/>
      <w:spacing w:before="40" w:line="259" w:lineRule="auto"/>
      <w:outlineLvl w:val="6"/>
    </w:pPr>
    <w:rPr>
      <w:rFonts w:asciiTheme="minorHAnsi" w:eastAsiaTheme="majorEastAsia" w:hAnsiTheme="minorHAnsi" w:cstheme="majorBidi"/>
      <w:color w:val="595959" w:themeColor="text1" w:themeTint="A6"/>
      <w:kern w:val="2"/>
      <w:sz w:val="22"/>
    </w:rPr>
  </w:style>
  <w:style w:type="paragraph" w:styleId="Heading8">
    <w:name w:val="heading 8"/>
    <w:basedOn w:val="Normal"/>
    <w:next w:val="Normal"/>
    <w:link w:val="Heading8Char"/>
    <w:uiPriority w:val="9"/>
    <w:semiHidden/>
    <w:unhideWhenUsed/>
    <w:qFormat/>
    <w:rsid w:val="00A86151"/>
    <w:pPr>
      <w:keepNext/>
      <w:keepLines/>
      <w:spacing w:line="259" w:lineRule="auto"/>
      <w:outlineLvl w:val="7"/>
    </w:pPr>
    <w:rPr>
      <w:rFonts w:asciiTheme="minorHAnsi" w:eastAsiaTheme="majorEastAsia" w:hAnsiTheme="minorHAnsi" w:cstheme="majorBidi"/>
      <w:i/>
      <w:iCs/>
      <w:color w:val="272727" w:themeColor="text1" w:themeTint="D8"/>
      <w:kern w:val="2"/>
      <w:sz w:val="22"/>
    </w:rPr>
  </w:style>
  <w:style w:type="paragraph" w:styleId="Heading9">
    <w:name w:val="heading 9"/>
    <w:basedOn w:val="Normal"/>
    <w:next w:val="Normal"/>
    <w:link w:val="Heading9Char"/>
    <w:uiPriority w:val="9"/>
    <w:semiHidden/>
    <w:unhideWhenUsed/>
    <w:qFormat/>
    <w:rsid w:val="00A86151"/>
    <w:pPr>
      <w:keepNext/>
      <w:keepLines/>
      <w:spacing w:line="259" w:lineRule="auto"/>
      <w:outlineLvl w:val="8"/>
    </w:pPr>
    <w:rPr>
      <w:rFonts w:asciiTheme="minorHAnsi" w:eastAsiaTheme="majorEastAsia" w:hAnsiTheme="minorHAnsi" w:cstheme="majorBidi"/>
      <w:color w:val="272727" w:themeColor="text1" w:themeTint="D8"/>
      <w:kern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1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861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615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8615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8615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86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151"/>
    <w:rPr>
      <w:rFonts w:eastAsiaTheme="majorEastAsia" w:cstheme="majorBidi"/>
      <w:color w:val="272727" w:themeColor="text1" w:themeTint="D8"/>
    </w:rPr>
  </w:style>
  <w:style w:type="paragraph" w:styleId="Title">
    <w:name w:val="Title"/>
    <w:basedOn w:val="Normal"/>
    <w:next w:val="Normal"/>
    <w:link w:val="TitleChar"/>
    <w:uiPriority w:val="10"/>
    <w:qFormat/>
    <w:rsid w:val="00A861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1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8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51"/>
    <w:pPr>
      <w:spacing w:before="160" w:after="160" w:line="259" w:lineRule="auto"/>
      <w:jc w:val="center"/>
    </w:pPr>
    <w:rPr>
      <w:rFonts w:asciiTheme="minorHAnsi" w:hAnsiTheme="minorHAnsi" w:cstheme="minorBidi"/>
      <w:i/>
      <w:iCs/>
      <w:color w:val="404040" w:themeColor="text1" w:themeTint="BF"/>
      <w:kern w:val="2"/>
      <w:sz w:val="22"/>
    </w:rPr>
  </w:style>
  <w:style w:type="character" w:customStyle="1" w:styleId="QuoteChar">
    <w:name w:val="Quote Char"/>
    <w:basedOn w:val="DefaultParagraphFont"/>
    <w:link w:val="Quote"/>
    <w:uiPriority w:val="29"/>
    <w:rsid w:val="00A86151"/>
    <w:rPr>
      <w:i/>
      <w:iCs/>
      <w:color w:val="404040" w:themeColor="text1" w:themeTint="BF"/>
    </w:rPr>
  </w:style>
  <w:style w:type="paragraph" w:styleId="ListParagraph">
    <w:name w:val="List Paragraph"/>
    <w:basedOn w:val="Normal"/>
    <w:uiPriority w:val="34"/>
    <w:qFormat/>
    <w:rsid w:val="00A86151"/>
    <w:pPr>
      <w:spacing w:after="160" w:line="259" w:lineRule="auto"/>
      <w:ind w:left="720"/>
      <w:contextualSpacing/>
    </w:pPr>
    <w:rPr>
      <w:rFonts w:asciiTheme="minorHAnsi" w:hAnsiTheme="minorHAnsi" w:cstheme="minorBidi"/>
      <w:kern w:val="2"/>
      <w:sz w:val="22"/>
    </w:rPr>
  </w:style>
  <w:style w:type="character" w:styleId="IntenseEmphasis">
    <w:name w:val="Intense Emphasis"/>
    <w:basedOn w:val="DefaultParagraphFont"/>
    <w:uiPriority w:val="21"/>
    <w:qFormat/>
    <w:rsid w:val="00A86151"/>
    <w:rPr>
      <w:i/>
      <w:iCs/>
      <w:color w:val="365F91" w:themeColor="accent1" w:themeShade="BF"/>
    </w:rPr>
  </w:style>
  <w:style w:type="paragraph" w:styleId="IntenseQuote">
    <w:name w:val="Intense Quote"/>
    <w:basedOn w:val="Normal"/>
    <w:next w:val="Normal"/>
    <w:link w:val="IntenseQuoteChar"/>
    <w:uiPriority w:val="30"/>
    <w:qFormat/>
    <w:rsid w:val="00A8615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hAnsiTheme="minorHAnsi" w:cstheme="minorBidi"/>
      <w:i/>
      <w:iCs/>
      <w:color w:val="365F91" w:themeColor="accent1" w:themeShade="BF"/>
      <w:kern w:val="2"/>
      <w:sz w:val="22"/>
    </w:rPr>
  </w:style>
  <w:style w:type="character" w:customStyle="1" w:styleId="IntenseQuoteChar">
    <w:name w:val="Intense Quote Char"/>
    <w:basedOn w:val="DefaultParagraphFont"/>
    <w:link w:val="IntenseQuote"/>
    <w:uiPriority w:val="30"/>
    <w:rsid w:val="00A86151"/>
    <w:rPr>
      <w:i/>
      <w:iCs/>
      <w:color w:val="365F91" w:themeColor="accent1" w:themeShade="BF"/>
    </w:rPr>
  </w:style>
  <w:style w:type="character" w:styleId="IntenseReference">
    <w:name w:val="Intense Reference"/>
    <w:basedOn w:val="DefaultParagraphFont"/>
    <w:uiPriority w:val="32"/>
    <w:qFormat/>
    <w:rsid w:val="00A86151"/>
    <w:rPr>
      <w:b/>
      <w:bCs/>
      <w:smallCaps/>
      <w:color w:val="365F91" w:themeColor="accent1" w:themeShade="BF"/>
      <w:spacing w:val="5"/>
    </w:rPr>
  </w:style>
  <w:style w:type="paragraph" w:customStyle="1" w:styleId="TechnicalBlockBase">
    <w:name w:val="TechnicalBlockBase"/>
    <w:link w:val="TechnicalBlockBaseChar"/>
    <w:rsid w:val="00894139"/>
    <w:pPr>
      <w:widowControl w:val="0"/>
      <w:spacing w:before="140" w:after="140" w:line="185" w:lineRule="auto"/>
      <w:ind w:left="260" w:right="260"/>
    </w:pPr>
    <w:rPr>
      <w:rFonts w:ascii="Arial New Roman" w:eastAsia="Times New Roman" w:hAnsi="Arial New Roman" w:cs="Arial"/>
      <w:b/>
      <w:i/>
      <w:dstrike/>
      <w:color w:val="606060"/>
      <w:w w:val="98"/>
      <w:sz w:val="10"/>
      <w:szCs w:val="20"/>
      <w:u w:val="words" w:color="606060"/>
      <w:lang w:val="en-GB" w:eastAsia="fr-BE"/>
    </w:rPr>
  </w:style>
  <w:style w:type="character" w:customStyle="1" w:styleId="TechnicalBlockBaseChar">
    <w:name w:val="TechnicalBlockBase Char"/>
    <w:basedOn w:val="EntInstitChar"/>
    <w:link w:val="TechnicalBlockBase"/>
    <w:rsid w:val="00894139"/>
    <w:rPr>
      <w:rFonts w:ascii="Arial New Roman" w:eastAsia="Times New Roman" w:hAnsi="Arial New Roman" w:cs="Arial"/>
      <w:b/>
      <w:i/>
      <w:dstrike/>
      <w:color w:val="606060"/>
      <w:w w:val="98"/>
      <w:kern w:val="0"/>
      <w:sz w:val="10"/>
      <w:szCs w:val="20"/>
      <w:u w:val="words" w:color="606060"/>
      <w:lang w:val="en-GB" w:eastAsia="fr-BE"/>
    </w:rPr>
  </w:style>
  <w:style w:type="paragraph" w:customStyle="1" w:styleId="TBEntRefer">
    <w:name w:val="TBEntRefer"/>
    <w:basedOn w:val="TechnicalBlockBase"/>
    <w:link w:val="EntReferChar"/>
    <w:rsid w:val="00894139"/>
    <w:pPr>
      <w:spacing w:before="0" w:after="0" w:line="240" w:lineRule="auto"/>
      <w:ind w:left="0" w:right="0"/>
    </w:pPr>
    <w:rPr>
      <w:rFonts w:ascii="Arial" w:hAnsi="Arial"/>
      <w:i w:val="0"/>
      <w:dstrike w:val="0"/>
      <w:color w:val="auto"/>
      <w:w w:val="100"/>
      <w:sz w:val="23"/>
      <w:u w:val="none"/>
    </w:rPr>
  </w:style>
  <w:style w:type="character" w:customStyle="1" w:styleId="EntReferChar">
    <w:name w:val="EntRefer Char"/>
    <w:basedOn w:val="DefaultParagraphFont"/>
    <w:link w:val="TBEntRefer"/>
    <w:rsid w:val="00A43C50"/>
    <w:rPr>
      <w:rFonts w:ascii="Arial" w:eastAsia="Times New Roman" w:hAnsi="Arial" w:cs="Arial"/>
      <w:b/>
      <w:kern w:val="0"/>
      <w:sz w:val="23"/>
      <w:szCs w:val="20"/>
      <w:u w:color="606060"/>
      <w:lang w:val="en-GB" w:eastAsia="fr-BE"/>
    </w:rPr>
  </w:style>
  <w:style w:type="paragraph" w:customStyle="1" w:styleId="TBDistrbMarkers">
    <w:name w:val="TBDistrbMarkers"/>
    <w:basedOn w:val="TBEntRefer"/>
    <w:qFormat/>
    <w:rsid w:val="00894139"/>
    <w:pPr>
      <w:tabs>
        <w:tab w:val="left" w:pos="2262"/>
      </w:tabs>
    </w:pPr>
    <w:rPr>
      <w:i/>
      <w:iCs/>
      <w:szCs w:val="23"/>
    </w:rPr>
  </w:style>
  <w:style w:type="paragraph" w:customStyle="1" w:styleId="TBEntACP">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customStyle="1" w:styleId="TBEntInstitACP">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customStyle="1" w:styleId="TBSousEmbargo">
    <w:name w:val="TBSousEmbargo"/>
    <w:basedOn w:val="TechnicalBlockBase"/>
    <w:qFormat/>
    <w:rsid w:val="00894139"/>
    <w:pPr>
      <w:spacing w:before="360" w:after="360" w:line="240" w:lineRule="auto"/>
      <w:ind w:left="0" w:right="0"/>
      <w:jc w:val="center"/>
    </w:pPr>
    <w:rPr>
      <w:rFonts w:ascii="Arial" w:hAnsi="Arial"/>
      <w:i w:val="0"/>
      <w:dstrike w:val="0"/>
      <w:color w:val="auto"/>
      <w:w w:val="100"/>
      <w:sz w:val="23"/>
      <w:szCs w:val="23"/>
      <w:u w:val="double"/>
    </w:rPr>
  </w:style>
  <w:style w:type="paragraph" w:customStyle="1" w:styleId="TBEntInstit">
    <w:name w:val="TBEntInstit"/>
    <w:basedOn w:val="TechnicalBlockBase"/>
    <w:link w:val="EntInstitChar"/>
    <w:rsid w:val="00894139"/>
    <w:pPr>
      <w:spacing w:before="0" w:after="60" w:line="240" w:lineRule="auto"/>
      <w:ind w:left="0" w:right="0"/>
      <w:jc w:val="right"/>
    </w:pPr>
    <w:rPr>
      <w:rFonts w:ascii="Arial" w:hAnsi="Arial"/>
      <w:i w:val="0"/>
      <w:dstrike w:val="0"/>
      <w:color w:val="auto"/>
      <w:w w:val="100"/>
      <w:sz w:val="23"/>
      <w:u w:val="none"/>
    </w:rPr>
  </w:style>
  <w:style w:type="paragraph" w:customStyle="1" w:styleId="TBEntReferNew">
    <w:name w:val="TBEntReferNew"/>
    <w:basedOn w:val="TechnicalBlockBase"/>
    <w:rsid w:val="00894139"/>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customStyle="1" w:styleId="TBInstitution">
    <w:name w:val="TBInstitution"/>
    <w:basedOn w:val="TechnicalBlockBase"/>
    <w:rsid w:val="00894139"/>
    <w:pPr>
      <w:spacing w:before="0" w:after="28" w:line="204" w:lineRule="auto"/>
      <w:ind w:left="0" w:right="0"/>
    </w:pPr>
    <w:rPr>
      <w:rFonts w:ascii="Arial" w:hAnsi="Arial"/>
      <w:i w:val="0"/>
      <w:dstrike w:val="0"/>
      <w:color w:val="626262"/>
      <w:spacing w:val="4"/>
      <w:w w:val="100"/>
      <w:sz w:val="24"/>
      <w:szCs w:val="23"/>
      <w:u w:val="none"/>
    </w:rPr>
  </w:style>
  <w:style w:type="paragraph" w:customStyle="1" w:styleId="TBNormalTechnicalBlock">
    <w:name w:val="TBNormalTechnicalBlock"/>
    <w:basedOn w:val="TechnicalBlockBase"/>
    <w:rsid w:val="00894139"/>
    <w:pPr>
      <w:spacing w:before="0" w:after="0" w:line="216" w:lineRule="auto"/>
      <w:ind w:left="0" w:right="0"/>
      <w:contextualSpacing/>
    </w:pPr>
    <w:rPr>
      <w:rFonts w:ascii="Arial" w:hAnsi="Arial"/>
      <w:i w:val="0"/>
      <w:dstrike w:val="0"/>
      <w:color w:val="auto"/>
      <w:w w:val="100"/>
      <w:sz w:val="23"/>
      <w:szCs w:val="23"/>
      <w:u w:val="none"/>
    </w:rPr>
  </w:style>
  <w:style w:type="paragraph" w:customStyle="1" w:styleId="TBInstitutionSubwordmark">
    <w:name w:val="TBInstitutionSubwordmark"/>
    <w:basedOn w:val="TechnicalBlockBase"/>
    <w:rsid w:val="00894139"/>
    <w:pPr>
      <w:spacing w:before="0" w:after="0" w:line="204" w:lineRule="auto"/>
      <w:ind w:left="0" w:right="0"/>
    </w:pPr>
    <w:rPr>
      <w:rFonts w:ascii="Arial" w:hAnsi="Arial"/>
      <w:b w:val="0"/>
      <w:i w:val="0"/>
      <w:dstrike w:val="0"/>
      <w:color w:val="626262"/>
      <w:spacing w:val="4"/>
      <w:w w:val="100"/>
      <w:sz w:val="24"/>
      <w:u w:val="none"/>
    </w:rPr>
  </w:style>
  <w:style w:type="character" w:customStyle="1" w:styleId="EntInstitChar">
    <w:name w:val="EntInstit Char"/>
    <w:basedOn w:val="DefaultParagraphFont"/>
    <w:link w:val="TBEntInstit"/>
    <w:rsid w:val="00894139"/>
    <w:rPr>
      <w:rFonts w:ascii="Arial" w:eastAsia="Times New Roman" w:hAnsi="Arial" w:cs="Arial"/>
      <w:b/>
      <w:kern w:val="0"/>
      <w:sz w:val="23"/>
      <w:szCs w:val="20"/>
      <w:u w:color="606060"/>
      <w:lang w:val="en-GB" w:eastAsia="fr-BE"/>
    </w:rPr>
  </w:style>
  <w:style w:type="paragraph" w:customStyle="1" w:styleId="TBSubjectTable">
    <w:name w:val="TBSubjectTable"/>
    <w:basedOn w:val="TechnicalBlockBase"/>
    <w:rsid w:val="002D3C08"/>
    <w:pPr>
      <w:widowControl/>
      <w:spacing w:before="40" w:after="40" w:line="240" w:lineRule="auto"/>
      <w:ind w:left="0" w:right="0"/>
    </w:pPr>
    <w:rPr>
      <w:rFonts w:ascii="Arial" w:hAnsi="Arial"/>
      <w:b w:val="0"/>
      <w:i w:val="0"/>
      <w:dstrike w:val="0"/>
      <w:color w:val="auto"/>
      <w:w w:val="100"/>
      <w:sz w:val="23"/>
      <w:u w:val="none"/>
    </w:rPr>
  </w:style>
  <w:style w:type="paragraph" w:customStyle="1" w:styleId="TBDocumentGroup">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customStyle="1" w:styleId="TBHeadingTable">
    <w:name w:val="TBHeadingTable"/>
    <w:basedOn w:val="TechnicalBlockBase"/>
    <w:rsid w:val="002D3C08"/>
    <w:pPr>
      <w:widowControl/>
      <w:spacing w:before="240" w:after="40" w:line="240" w:lineRule="auto"/>
      <w:ind w:left="0" w:right="0"/>
    </w:pPr>
    <w:rPr>
      <w:rFonts w:ascii="Arial" w:hAnsi="Arial"/>
      <w:i w:val="0"/>
      <w:dstrike w:val="0"/>
      <w:color w:val="auto"/>
      <w:w w:val="100"/>
      <w:sz w:val="23"/>
      <w:u w:val="none"/>
    </w:rPr>
  </w:style>
  <w:style w:type="paragraph" w:customStyle="1" w:styleId="TBSubjectBold">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customStyle="1" w:styleId="TBSubjectText">
    <w:name w:val="TBSubjectText"/>
    <w:basedOn w:val="TechnicalBlockBase"/>
    <w:qFormat/>
    <w:rsid w:val="002D3C08"/>
    <w:pPr>
      <w:widowControl/>
      <w:spacing w:before="40" w:after="40" w:line="240" w:lineRule="auto"/>
      <w:ind w:left="0" w:right="0"/>
    </w:pPr>
    <w:rPr>
      <w:rFonts w:ascii="Arial" w:hAnsi="Arial"/>
      <w:b w:val="0"/>
      <w:i w:val="0"/>
      <w:dstrike w:val="0"/>
      <w:color w:val="auto"/>
      <w:w w:val="100"/>
      <w:sz w:val="23"/>
      <w:u w:val="none"/>
    </w:rPr>
  </w:style>
  <w:style w:type="paragraph" w:customStyle="1" w:styleId="HeaderCouncilLarge">
    <w:name w:val="Header Council Large"/>
    <w:basedOn w:val="Normal"/>
    <w:uiPriority w:val="99"/>
    <w:unhideWhenUsed/>
    <w:pPr>
      <w:spacing w:before="0" w:after="440"/>
    </w:pPr>
    <w:rPr>
      <w:sz w:val="2"/>
    </w:rPr>
  </w:style>
  <w:style w:type="paragraph" w:customStyle="1" w:styleId="FooterText">
    <w:name w:val="Footer Text"/>
    <w:basedOn w:val="Normal"/>
    <w:unhideWhenUsed/>
    <w:pPr>
      <w:spacing w:before="0" w:after="0" w:line="240" w:lineRule="auto"/>
    </w:pPr>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unhideWhenUsed/>
    <w:rsid w:val="009C6417"/>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9C6417"/>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rsid w:val="009C6417"/>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1"/>
      </w:numPr>
    </w:pPr>
  </w:style>
  <w:style w:type="paragraph" w:customStyle="1" w:styleId="Pointabc1">
    <w:name w:val="Point abc (1)"/>
    <w:basedOn w:val="Normal"/>
    <w:rsid w:val="009C6417"/>
    <w:pPr>
      <w:numPr>
        <w:ilvl w:val="3"/>
        <w:numId w:val="1"/>
      </w:numPr>
    </w:pPr>
  </w:style>
  <w:style w:type="paragraph" w:customStyle="1" w:styleId="Pointabc2">
    <w:name w:val="Point abc (2)"/>
    <w:basedOn w:val="Normal"/>
    <w:rsid w:val="009C6417"/>
    <w:pPr>
      <w:numPr>
        <w:ilvl w:val="5"/>
        <w:numId w:val="1"/>
      </w:numPr>
    </w:pPr>
  </w:style>
  <w:style w:type="paragraph" w:customStyle="1" w:styleId="Pointabc3">
    <w:name w:val="Point abc (3)"/>
    <w:basedOn w:val="Normal"/>
    <w:rsid w:val="009C6417"/>
    <w:pPr>
      <w:numPr>
        <w:ilvl w:val="7"/>
        <w:numId w:val="1"/>
      </w:numPr>
    </w:pPr>
  </w:style>
  <w:style w:type="paragraph" w:customStyle="1" w:styleId="Pointabc4">
    <w:name w:val="Point abc (4)"/>
    <w:basedOn w:val="Normal"/>
    <w:rsid w:val="009C6417"/>
    <w:pPr>
      <w:numPr>
        <w:ilvl w:val="8"/>
        <w:numId w:val="1"/>
      </w:numPr>
    </w:pPr>
  </w:style>
  <w:style w:type="paragraph" w:customStyle="1" w:styleId="Point123">
    <w:name w:val="Point 123"/>
    <w:basedOn w:val="Normal"/>
    <w:rsid w:val="009C6417"/>
    <w:pPr>
      <w:numPr>
        <w:numId w:val="1"/>
      </w:numPr>
    </w:pPr>
  </w:style>
  <w:style w:type="paragraph" w:customStyle="1" w:styleId="Point1231">
    <w:name w:val="Point 123 (1)"/>
    <w:basedOn w:val="Normal"/>
    <w:rsid w:val="009C6417"/>
    <w:pPr>
      <w:numPr>
        <w:ilvl w:val="2"/>
        <w:numId w:val="1"/>
      </w:numPr>
    </w:pPr>
  </w:style>
  <w:style w:type="paragraph" w:customStyle="1" w:styleId="Point1232">
    <w:name w:val="Point 123 (2)"/>
    <w:basedOn w:val="Normal"/>
    <w:rsid w:val="009C6417"/>
    <w:pPr>
      <w:numPr>
        <w:ilvl w:val="4"/>
        <w:numId w:val="1"/>
      </w:numPr>
    </w:pPr>
  </w:style>
  <w:style w:type="paragraph" w:customStyle="1" w:styleId="Point1233">
    <w:name w:val="Point 123 (3)"/>
    <w:basedOn w:val="Normal"/>
    <w:rsid w:val="009C6417"/>
    <w:pPr>
      <w:numPr>
        <w:ilvl w:val="6"/>
        <w:numId w:val="1"/>
      </w:numPr>
    </w:pPr>
  </w:style>
  <w:style w:type="paragraph" w:customStyle="1" w:styleId="Pointivx">
    <w:name w:val="Point ivx"/>
    <w:basedOn w:val="Normal"/>
    <w:rsid w:val="009C6417"/>
    <w:pPr>
      <w:numPr>
        <w:numId w:val="2"/>
      </w:numPr>
    </w:pPr>
  </w:style>
  <w:style w:type="paragraph" w:customStyle="1" w:styleId="Pointivx1">
    <w:name w:val="Point ivx (1)"/>
    <w:basedOn w:val="Normal"/>
    <w:rsid w:val="009C6417"/>
    <w:pPr>
      <w:numPr>
        <w:ilvl w:val="1"/>
        <w:numId w:val="2"/>
      </w:numPr>
    </w:pPr>
  </w:style>
  <w:style w:type="paragraph" w:customStyle="1" w:styleId="Pointivx2">
    <w:name w:val="Point ivx (2)"/>
    <w:basedOn w:val="Normal"/>
    <w:rsid w:val="009C6417"/>
    <w:pPr>
      <w:numPr>
        <w:ilvl w:val="2"/>
        <w:numId w:val="2"/>
      </w:numPr>
    </w:pPr>
  </w:style>
  <w:style w:type="paragraph" w:customStyle="1" w:styleId="Pointivx3">
    <w:name w:val="Point ivx (3)"/>
    <w:basedOn w:val="Normal"/>
    <w:rsid w:val="009C6417"/>
    <w:pPr>
      <w:numPr>
        <w:ilvl w:val="3"/>
        <w:numId w:val="2"/>
      </w:numPr>
    </w:pPr>
  </w:style>
  <w:style w:type="paragraph" w:customStyle="1" w:styleId="Pointivx4">
    <w:name w:val="Point ivx (4)"/>
    <w:basedOn w:val="Normal"/>
    <w:rsid w:val="009C6417"/>
    <w:pPr>
      <w:numPr>
        <w:ilvl w:val="4"/>
        <w:numId w:val="2"/>
      </w:numPr>
    </w:pPr>
  </w:style>
  <w:style w:type="paragraph" w:customStyle="1" w:styleId="Bullet">
    <w:name w:val="Bullet"/>
    <w:basedOn w:val="Normal"/>
    <w:rsid w:val="009C6417"/>
    <w:pPr>
      <w:numPr>
        <w:numId w:val="3"/>
      </w:numPr>
    </w:pPr>
  </w:style>
  <w:style w:type="paragraph" w:customStyle="1" w:styleId="Bullet1">
    <w:name w:val="Bullet 1"/>
    <w:basedOn w:val="Normal"/>
    <w:rsid w:val="009C6417"/>
    <w:pPr>
      <w:numPr>
        <w:numId w:val="4"/>
      </w:numPr>
    </w:pPr>
  </w:style>
  <w:style w:type="paragraph" w:customStyle="1" w:styleId="Bullet2">
    <w:name w:val="Bullet 2"/>
    <w:basedOn w:val="Normal"/>
    <w:rsid w:val="009C6417"/>
    <w:pPr>
      <w:numPr>
        <w:numId w:val="5"/>
      </w:numPr>
    </w:pPr>
  </w:style>
  <w:style w:type="paragraph" w:customStyle="1" w:styleId="Bullet3">
    <w:name w:val="Bullet 3"/>
    <w:basedOn w:val="Normal"/>
    <w:rsid w:val="009C6417"/>
    <w:pPr>
      <w:numPr>
        <w:numId w:val="6"/>
      </w:numPr>
    </w:pPr>
  </w:style>
  <w:style w:type="paragraph" w:customStyle="1" w:styleId="Bullet4">
    <w:name w:val="Bullet 4"/>
    <w:basedOn w:val="Normal"/>
    <w:rsid w:val="009C6417"/>
    <w:pPr>
      <w:numPr>
        <w:numId w:val="7"/>
      </w:numPr>
    </w:pPr>
  </w:style>
  <w:style w:type="paragraph" w:customStyle="1" w:styleId="Dash">
    <w:name w:val="Dash"/>
    <w:basedOn w:val="Normal"/>
    <w:rsid w:val="009C6417"/>
    <w:pPr>
      <w:numPr>
        <w:numId w:val="8"/>
      </w:numPr>
    </w:pPr>
  </w:style>
  <w:style w:type="paragraph" w:customStyle="1" w:styleId="Dash1">
    <w:name w:val="Dash 1"/>
    <w:basedOn w:val="Normal"/>
    <w:rsid w:val="009C6417"/>
    <w:pPr>
      <w:numPr>
        <w:numId w:val="9"/>
      </w:numPr>
    </w:pPr>
  </w:style>
  <w:style w:type="paragraph" w:customStyle="1" w:styleId="Dash2">
    <w:name w:val="Dash 2"/>
    <w:basedOn w:val="Normal"/>
    <w:rsid w:val="009C6417"/>
    <w:pPr>
      <w:numPr>
        <w:numId w:val="10"/>
      </w:numPr>
    </w:pPr>
  </w:style>
  <w:style w:type="paragraph" w:customStyle="1" w:styleId="Dash3">
    <w:name w:val="Dash 3"/>
    <w:basedOn w:val="Normal"/>
    <w:rsid w:val="009C6417"/>
    <w:pPr>
      <w:numPr>
        <w:numId w:val="11"/>
      </w:numPr>
    </w:pPr>
  </w:style>
  <w:style w:type="paragraph" w:customStyle="1" w:styleId="Dash4">
    <w:name w:val="Dash 4"/>
    <w:basedOn w:val="Normal"/>
    <w:rsid w:val="009C6417"/>
    <w:pPr>
      <w:numPr>
        <w:numId w:val="12"/>
      </w:numPr>
    </w:pPr>
  </w:style>
  <w:style w:type="paragraph" w:customStyle="1" w:styleId="DashEqual">
    <w:name w:val="Dash Equal"/>
    <w:basedOn w:val="Dash"/>
    <w:rsid w:val="009C6417"/>
    <w:pPr>
      <w:numPr>
        <w:numId w:val="13"/>
      </w:numPr>
    </w:pPr>
  </w:style>
  <w:style w:type="paragraph" w:customStyle="1" w:styleId="DashEqual1">
    <w:name w:val="Dash Equal 1"/>
    <w:basedOn w:val="Dash1"/>
    <w:rsid w:val="009C6417"/>
    <w:pPr>
      <w:numPr>
        <w:numId w:val="14"/>
      </w:numPr>
    </w:pPr>
  </w:style>
  <w:style w:type="paragraph" w:customStyle="1" w:styleId="DashEqual2">
    <w:name w:val="Dash Equal 2"/>
    <w:basedOn w:val="Dash2"/>
    <w:rsid w:val="009C6417"/>
    <w:pPr>
      <w:numPr>
        <w:numId w:val="15"/>
      </w:numPr>
    </w:pPr>
  </w:style>
  <w:style w:type="paragraph" w:customStyle="1" w:styleId="DashEqual3">
    <w:name w:val="Dash Equal 3"/>
    <w:basedOn w:val="Dash3"/>
    <w:rsid w:val="009C6417"/>
    <w:pPr>
      <w:numPr>
        <w:numId w:val="16"/>
      </w:numPr>
    </w:pPr>
  </w:style>
  <w:style w:type="paragraph" w:customStyle="1" w:styleId="DashEqual4">
    <w:name w:val="Dash Equal 4"/>
    <w:basedOn w:val="Dash4"/>
    <w:rsid w:val="009C6417"/>
    <w:pPr>
      <w:numPr>
        <w:numId w:val="17"/>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18"/>
      </w:numPr>
    </w:pPr>
  </w:style>
  <w:style w:type="paragraph" w:customStyle="1" w:styleId="Heading123">
    <w:name w:val="Heading 123"/>
    <w:basedOn w:val="HeadingLeft"/>
    <w:next w:val="Normal"/>
    <w:rsid w:val="009C6417"/>
    <w:pPr>
      <w:numPr>
        <w:numId w:val="19"/>
      </w:numPr>
    </w:pPr>
  </w:style>
  <w:style w:type="paragraph" w:customStyle="1" w:styleId="HeadingABC">
    <w:name w:val="Heading ABC"/>
    <w:basedOn w:val="HeadingLeft"/>
    <w:next w:val="Normal"/>
    <w:rsid w:val="009C6417"/>
    <w:pPr>
      <w:numPr>
        <w:numId w:val="20"/>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1B675E"/>
    <w:rPr>
      <w:vertAlign w:val="superscript"/>
    </w:rPr>
  </w:style>
  <w:style w:type="character" w:styleId="Hyperlink">
    <w:name w:val="Hyperlink"/>
    <w:basedOn w:val="DefaultParagraphFont"/>
    <w:uiPriority w:val="99"/>
    <w:unhideWhenUsed/>
    <w:rsid w:val="007C3E3D"/>
    <w:rPr>
      <w:color w:val="0000FF" w:themeColor="hyperlink"/>
      <w:u w:val="single"/>
    </w:rPr>
  </w:style>
  <w:style w:type="character" w:styleId="UnresolvedMention">
    <w:name w:val="Unresolved Mention"/>
    <w:basedOn w:val="DefaultParagraphFont"/>
    <w:uiPriority w:val="99"/>
    <w:semiHidden/>
    <w:unhideWhenUsed/>
    <w:rsid w:val="007C3E3D"/>
    <w:rPr>
      <w:color w:val="605E5C"/>
      <w:shd w:val="clear" w:color="auto" w:fill="E1DFDD"/>
    </w:rPr>
  </w:style>
  <w:style w:type="character" w:styleId="PlaceholderText">
    <w:name w:val="Placeholder Text"/>
    <w:basedOn w:val="DefaultParagraphFont"/>
    <w:uiPriority w:val="99"/>
    <w:semiHidden/>
    <w:rsid w:val="007C3E3D"/>
    <w:rPr>
      <w:color w:val="808080"/>
    </w:rPr>
  </w:style>
  <w:style w:type="paragraph" w:styleId="ListNumber">
    <w:name w:val="List Number"/>
    <w:basedOn w:val="Normal"/>
    <w:uiPriority w:val="30"/>
    <w:rsid w:val="009C5035"/>
    <w:pPr>
      <w:numPr>
        <w:numId w:val="21"/>
      </w:numPr>
      <w:spacing w:line="240" w:lineRule="auto"/>
      <w:jc w:val="both"/>
    </w:pPr>
    <w:rPr>
      <w:rFonts w:eastAsia="Times New Roman"/>
      <w:lang w:eastAsia="de-DE"/>
    </w:rPr>
  </w:style>
  <w:style w:type="paragraph" w:customStyle="1" w:styleId="ListNumberLevel2">
    <w:name w:val="List Number (Level 2)"/>
    <w:basedOn w:val="Normal"/>
    <w:uiPriority w:val="30"/>
    <w:rsid w:val="009C5035"/>
    <w:pPr>
      <w:numPr>
        <w:ilvl w:val="1"/>
        <w:numId w:val="21"/>
      </w:numPr>
      <w:spacing w:line="240" w:lineRule="auto"/>
      <w:jc w:val="both"/>
    </w:pPr>
    <w:rPr>
      <w:rFonts w:eastAsia="Times New Roman"/>
      <w:lang w:eastAsia="de-DE"/>
    </w:rPr>
  </w:style>
  <w:style w:type="paragraph" w:customStyle="1" w:styleId="ListNumberLevel3">
    <w:name w:val="List Number (Level 3)"/>
    <w:basedOn w:val="Normal"/>
    <w:uiPriority w:val="30"/>
    <w:rsid w:val="009C5035"/>
    <w:pPr>
      <w:numPr>
        <w:ilvl w:val="2"/>
        <w:numId w:val="21"/>
      </w:numPr>
      <w:spacing w:line="240" w:lineRule="auto"/>
      <w:jc w:val="both"/>
    </w:pPr>
    <w:rPr>
      <w:rFonts w:eastAsia="Times New Roman"/>
      <w:lang w:eastAsia="de-DE"/>
    </w:rPr>
  </w:style>
  <w:style w:type="paragraph" w:customStyle="1" w:styleId="ListNumberLevel4">
    <w:name w:val="List Number (Level 4)"/>
    <w:basedOn w:val="Normal"/>
    <w:uiPriority w:val="30"/>
    <w:rsid w:val="009C5035"/>
    <w:pPr>
      <w:numPr>
        <w:ilvl w:val="3"/>
        <w:numId w:val="21"/>
      </w:numPr>
      <w:spacing w:line="240" w:lineRule="auto"/>
      <w:jc w:val="both"/>
    </w:pPr>
    <w:rPr>
      <w:rFonts w:eastAsia="Times New Roman"/>
      <w:lang w:eastAsia="de-DE"/>
    </w:rPr>
  </w:style>
  <w:style w:type="paragraph" w:styleId="ListBullet2">
    <w:name w:val="List Bullet 2"/>
    <w:basedOn w:val="Normal"/>
    <w:rsid w:val="009C5035"/>
    <w:pPr>
      <w:numPr>
        <w:numId w:val="22"/>
      </w:numPr>
      <w:spacing w:line="240" w:lineRule="auto"/>
      <w:jc w:val="both"/>
    </w:pPr>
    <w:rPr>
      <w:rFonts w:eastAsia="Times New Roman"/>
      <w:lang w:val="fr-FR" w:eastAsia="en-GB"/>
    </w:rPr>
  </w:style>
  <w:style w:type="character" w:customStyle="1" w:styleId="eop">
    <w:name w:val="eop"/>
    <w:basedOn w:val="DefaultParagraphFont"/>
    <w:rsid w:val="009C5035"/>
  </w:style>
  <w:style w:type="character" w:customStyle="1" w:styleId="Instructions">
    <w:name w:val="Instructions"/>
    <w:basedOn w:val="SubtleEmphasis"/>
    <w:uiPriority w:val="1"/>
    <w:qFormat/>
    <w:rsid w:val="009C5035"/>
    <w:rPr>
      <w:rFonts w:ascii="Times New Roman" w:eastAsia="Times New Roman" w:hAnsi="Times New Roman" w:cstheme="majorHAnsi" w:hint="default"/>
      <w:i/>
      <w:iCs/>
      <w:color w:val="008000"/>
      <w:kern w:val="0"/>
      <w:sz w:val="24"/>
      <w:szCs w:val="20"/>
      <w:lang w:val="en-IE" w:eastAsia="en-IE"/>
    </w:rPr>
  </w:style>
  <w:style w:type="paragraph" w:customStyle="1" w:styleId="Point0">
    <w:name w:val="Point 0"/>
    <w:basedOn w:val="Normal"/>
    <w:rsid w:val="009C5035"/>
    <w:pPr>
      <w:spacing w:line="240" w:lineRule="auto"/>
      <w:ind w:left="850" w:hanging="850"/>
      <w:jc w:val="both"/>
    </w:pPr>
  </w:style>
  <w:style w:type="paragraph" w:customStyle="1" w:styleId="Point1">
    <w:name w:val="Point 1"/>
    <w:basedOn w:val="Normal"/>
    <w:rsid w:val="009C5035"/>
    <w:pPr>
      <w:spacing w:line="240" w:lineRule="auto"/>
      <w:ind w:left="1417" w:hanging="567"/>
      <w:jc w:val="both"/>
    </w:pPr>
  </w:style>
  <w:style w:type="paragraph" w:customStyle="1" w:styleId="ManualNumPar1">
    <w:name w:val="Manual NumPar 1"/>
    <w:basedOn w:val="Normal"/>
    <w:next w:val="Text1"/>
    <w:rsid w:val="009C5035"/>
    <w:pPr>
      <w:spacing w:line="240" w:lineRule="auto"/>
      <w:ind w:left="850" w:hanging="850"/>
      <w:jc w:val="both"/>
    </w:pPr>
  </w:style>
  <w:style w:type="paragraph" w:customStyle="1" w:styleId="Pagedecouverture">
    <w:name w:val="Page de couverture"/>
    <w:basedOn w:val="Normal"/>
    <w:next w:val="Normal"/>
    <w:rsid w:val="009C5035"/>
    <w:pPr>
      <w:spacing w:before="0" w:after="0" w:line="240" w:lineRule="auto"/>
      <w:jc w:val="both"/>
    </w:pPr>
  </w:style>
  <w:style w:type="paragraph" w:customStyle="1" w:styleId="Applicationdirecte">
    <w:name w:val="Application directe"/>
    <w:basedOn w:val="Normal"/>
    <w:next w:val="Fait"/>
    <w:rsid w:val="009C5035"/>
    <w:pPr>
      <w:spacing w:before="480" w:line="240" w:lineRule="auto"/>
      <w:jc w:val="both"/>
    </w:pPr>
  </w:style>
  <w:style w:type="paragraph" w:customStyle="1" w:styleId="Fait">
    <w:name w:val="Fait à"/>
    <w:basedOn w:val="Normal"/>
    <w:next w:val="Institutionquisigne"/>
    <w:rsid w:val="009C5035"/>
    <w:pPr>
      <w:keepNext/>
      <w:spacing w:after="0" w:line="240" w:lineRule="auto"/>
      <w:jc w:val="both"/>
    </w:pPr>
  </w:style>
  <w:style w:type="paragraph" w:customStyle="1" w:styleId="Formuledadoption">
    <w:name w:val="Formule d'adoption"/>
    <w:basedOn w:val="Normal"/>
    <w:next w:val="Titrearticle"/>
    <w:rsid w:val="009C5035"/>
    <w:pPr>
      <w:keepNext/>
      <w:spacing w:line="240" w:lineRule="auto"/>
      <w:jc w:val="both"/>
    </w:pPr>
  </w:style>
  <w:style w:type="paragraph" w:customStyle="1" w:styleId="Institutionquiagit">
    <w:name w:val="Institution qui agit"/>
    <w:basedOn w:val="Normal"/>
    <w:next w:val="Normal"/>
    <w:rsid w:val="009C5035"/>
    <w:pPr>
      <w:keepNext/>
      <w:spacing w:before="600" w:line="240" w:lineRule="auto"/>
      <w:jc w:val="both"/>
    </w:pPr>
  </w:style>
  <w:style w:type="paragraph" w:customStyle="1" w:styleId="Institutionquisigne">
    <w:name w:val="Institution qui signe"/>
    <w:basedOn w:val="Normal"/>
    <w:next w:val="Personnequisigne"/>
    <w:rsid w:val="009C5035"/>
    <w:pPr>
      <w:keepNext/>
      <w:tabs>
        <w:tab w:val="left" w:pos="4252"/>
      </w:tabs>
      <w:spacing w:before="720" w:after="0" w:line="240" w:lineRule="auto"/>
      <w:jc w:val="both"/>
    </w:pPr>
    <w:rPr>
      <w:i/>
    </w:rPr>
  </w:style>
  <w:style w:type="paragraph" w:customStyle="1" w:styleId="ManualConsidrant">
    <w:name w:val="Manual Considérant"/>
    <w:basedOn w:val="Normal"/>
    <w:rsid w:val="009C5035"/>
    <w:pPr>
      <w:spacing w:line="240" w:lineRule="auto"/>
      <w:ind w:left="709" w:hanging="709"/>
      <w:jc w:val="both"/>
    </w:pPr>
  </w:style>
  <w:style w:type="paragraph" w:customStyle="1" w:styleId="Personnequisigne">
    <w:name w:val="Personne qui signe"/>
    <w:basedOn w:val="Normal"/>
    <w:next w:val="Institutionquisigne"/>
    <w:rsid w:val="009C5035"/>
    <w:pPr>
      <w:tabs>
        <w:tab w:val="left" w:pos="4252"/>
      </w:tabs>
      <w:spacing w:before="0" w:after="0" w:line="240" w:lineRule="auto"/>
    </w:pPr>
    <w:rPr>
      <w:i/>
    </w:rPr>
  </w:style>
  <w:style w:type="paragraph" w:customStyle="1" w:styleId="Rfrenceinterinstitutionnelle">
    <w:name w:val="Référence interinstitutionnelle"/>
    <w:basedOn w:val="Normal"/>
    <w:next w:val="Statut"/>
    <w:rsid w:val="009C5035"/>
    <w:pPr>
      <w:spacing w:before="0" w:after="0" w:line="240" w:lineRule="auto"/>
      <w:ind w:left="5103"/>
    </w:pPr>
  </w:style>
  <w:style w:type="paragraph" w:customStyle="1" w:styleId="Statut">
    <w:name w:val="Statut"/>
    <w:basedOn w:val="Normal"/>
    <w:next w:val="Typedudocument"/>
    <w:rsid w:val="009C5035"/>
    <w:pPr>
      <w:spacing w:before="360" w:after="0" w:line="240" w:lineRule="auto"/>
      <w:jc w:val="center"/>
    </w:pPr>
  </w:style>
  <w:style w:type="paragraph" w:customStyle="1" w:styleId="Titrearticle">
    <w:name w:val="Titre article"/>
    <w:basedOn w:val="Normal"/>
    <w:next w:val="Normal"/>
    <w:rsid w:val="009C5035"/>
    <w:pPr>
      <w:keepNext/>
      <w:spacing w:before="360" w:line="240" w:lineRule="auto"/>
      <w:jc w:val="center"/>
    </w:pPr>
    <w:rPr>
      <w:i/>
    </w:rPr>
  </w:style>
  <w:style w:type="paragraph" w:customStyle="1" w:styleId="Titreobjet">
    <w:name w:val="Titre objet"/>
    <w:basedOn w:val="Normal"/>
    <w:next w:val="Normal"/>
    <w:rsid w:val="009C5035"/>
    <w:pPr>
      <w:spacing w:before="360" w:after="360" w:line="240" w:lineRule="auto"/>
      <w:jc w:val="center"/>
    </w:pPr>
    <w:rPr>
      <w:b/>
    </w:rPr>
  </w:style>
  <w:style w:type="paragraph" w:customStyle="1" w:styleId="Typedudocument">
    <w:name w:val="Type du document"/>
    <w:basedOn w:val="Normal"/>
    <w:next w:val="Titreobjet"/>
    <w:rsid w:val="009C5035"/>
    <w:pPr>
      <w:spacing w:before="360" w:after="0" w:line="240" w:lineRule="auto"/>
      <w:jc w:val="center"/>
    </w:pPr>
    <w:rPr>
      <w:b/>
    </w:rPr>
  </w:style>
  <w:style w:type="character" w:styleId="SubtleEmphasis">
    <w:name w:val="Subtle Emphasis"/>
    <w:basedOn w:val="DefaultParagraphFont"/>
    <w:uiPriority w:val="19"/>
    <w:qFormat/>
    <w:rsid w:val="009C503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bin"/><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image" Target="media/image1.bin"/><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2011/350/oj" TargetMode="External"/><Relationship Id="rId3" Type="http://schemas.openxmlformats.org/officeDocument/2006/relationships/hyperlink" Target="http://data.europa.eu/eli/reg/2018/1240/oj" TargetMode="External"/><Relationship Id="rId7" Type="http://schemas.openxmlformats.org/officeDocument/2006/relationships/hyperlink" Target="http://data.europa.eu/eli/dec/2008/146/oj" TargetMode="External"/><Relationship Id="rId2" Type="http://schemas.openxmlformats.org/officeDocument/2006/relationships/hyperlink" Target="http://data.europa.eu/eli/reg/2021/1148/oj" TargetMode="External"/><Relationship Id="rId1" Type="http://schemas.openxmlformats.org/officeDocument/2006/relationships/hyperlink" Target="http://data.europa.eu/eli/reg/2014/515/oj" TargetMode="External"/><Relationship Id="rId6" Type="http://schemas.openxmlformats.org/officeDocument/2006/relationships/hyperlink" Target="http://data.europa.eu/eli/dec/1999/437/oj" TargetMode="External"/><Relationship Id="rId5" Type="http://schemas.openxmlformats.org/officeDocument/2006/relationships/hyperlink" Target="http://data.europa.eu/eli/reg/2003/693/oj" TargetMode="External"/><Relationship Id="rId4" Type="http://schemas.openxmlformats.org/officeDocument/2006/relationships/hyperlink" Target="http://data.europa.eu/eli/reg/2024/1351/oj" TargetMode="External"/></Relationships>
</file>

<file path=word/_rels/header8.xml.rels><?xml version="1.0" encoding="UTF-8" standalone="yes"?>
<Relationships xmlns="http://schemas.openxmlformats.org/package/2006/relationships"><Relationship Id="rId1" Type="http://schemas.openxmlformats.org/officeDocument/2006/relationships/image" Target="media/image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2F228AFA198A44976C8F36F479FC26" ma:contentTypeVersion="0" ma:contentTypeDescription="Create a new document." ma:contentTypeScope="" ma:versionID="33bb23dd211d3680c518c76d07c044b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79D01-C557-42A8-A944-381F679B4907}">
  <ds:schemaRefs>
    <ds:schemaRef ds:uri="http://schemas.microsoft.com/sharepoint/v3/contenttype/forms"/>
  </ds:schemaRefs>
</ds:datastoreItem>
</file>

<file path=customXml/itemProps2.xml><?xml version="1.0" encoding="utf-8"?>
<ds:datastoreItem xmlns:ds="http://schemas.openxmlformats.org/officeDocument/2006/customXml" ds:itemID="{66E85146-3DFE-4B82-B662-720368A47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47C7C2-7F40-42FD-A5F4-7FBDF50B6E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DW_COUNCIL.dotm</Template>
  <TotalTime>1</TotalTime>
  <Pages>16</Pages>
  <Words>4744</Words>
  <Characters>27518</Characters>
  <Application>Microsoft Office Word</Application>
  <DocSecurity>0</DocSecurity>
  <Lines>229</Lines>
  <Paragraphs>64</Paragraphs>
  <ScaleCrop>false</ScaleCrop>
  <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Nathalie%20KUNSCH</dc:creator>
  <cp:keywords/>
  <dc:description/>
  <cp:lastModifiedBy>Aivi Kuivonen</cp:lastModifiedBy>
  <cp:revision>2</cp:revision>
  <dcterms:created xsi:type="dcterms:W3CDTF">2025-10-23T10:42:00Z</dcterms:created>
  <dcterms:modified xsi:type="dcterms:W3CDTF">2025-10-23T10:42:00Z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2025-07-31T12:24:12Z</vt:lpwstr>
  </property>
  <property fmtid="{D5CDD505-2E9C-101B-9397-08002B2CF9AE}" pid="4" name="MSIP_Label_b1df41d6-74a9-4a97-809c-213cd32520cc_Method">
    <vt:lpwstr>Privileged</vt:lpwstr>
  </property>
  <property fmtid="{D5CDD505-2E9C-101B-9397-08002B2CF9AE}" pid="5" name="MSIP_Label_b1df41d6-74a9-4a97-809c-213cd32520cc_Name">
    <vt:lpwstr>Non-Public</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084F11E1-6C8D-4405-B782-C0714F842605</vt:lpwstr>
  </property>
  <property fmtid="{D5CDD505-2E9C-101B-9397-08002B2CF9AE}" pid="8" name="MSIP_Label_b1df41d6-74a9-4a97-809c-213cd32520cc_ContentBits">
    <vt:lpwstr>0</vt:lpwstr>
  </property>
  <property fmtid="{D5CDD505-2E9C-101B-9397-08002B2CF9AE}" pid="9" name="Last edited using">
    <vt:lpwstr>DocuWrite Toolbox 1.27.0 (CoverpageUpdate)</vt:lpwstr>
  </property>
  <property fmtid="{D5CDD505-2E9C-101B-9397-08002B2CF9AE}" pid="10" name="ContentTypeId">
    <vt:lpwstr>0x010100412F228AFA198A44976C8F36F479FC26</vt:lpwstr>
  </property>
</Properties>
</file>